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1058A" w14:textId="77777777" w:rsidR="00B92060" w:rsidRPr="00B92060" w:rsidRDefault="00B92060" w:rsidP="00B92060"/>
    <w:p w14:paraId="3EEBC5DE" w14:textId="2278E251" w:rsidR="00F22531" w:rsidRDefault="00F22531" w:rsidP="004B1648">
      <w:pPr>
        <w:pStyle w:val="Title"/>
        <w:jc w:val="center"/>
        <w:rPr>
          <w:sz w:val="72"/>
          <w:szCs w:val="72"/>
        </w:rPr>
      </w:pPr>
      <w:r>
        <w:rPr>
          <w:sz w:val="72"/>
          <w:szCs w:val="72"/>
        </w:rPr>
        <w:t>Fusion Recovery</w:t>
      </w:r>
    </w:p>
    <w:p w14:paraId="6C444267" w14:textId="0556E61C" w:rsidR="00B92060" w:rsidRDefault="00B92060" w:rsidP="004B1648">
      <w:pPr>
        <w:pStyle w:val="Title"/>
        <w:jc w:val="center"/>
        <w:rPr>
          <w:sz w:val="72"/>
          <w:szCs w:val="72"/>
        </w:rPr>
      </w:pPr>
      <w:r>
        <w:rPr>
          <w:sz w:val="72"/>
          <w:szCs w:val="72"/>
        </w:rPr>
        <w:t>Outpatient &amp;</w:t>
      </w:r>
    </w:p>
    <w:p w14:paraId="39952DF6" w14:textId="6665BF6E" w:rsidR="005C6D45" w:rsidRDefault="00F22531" w:rsidP="004B1648">
      <w:pPr>
        <w:pStyle w:val="Title"/>
        <w:jc w:val="center"/>
        <w:rPr>
          <w:sz w:val="72"/>
          <w:szCs w:val="72"/>
        </w:rPr>
      </w:pPr>
      <w:r>
        <w:rPr>
          <w:sz w:val="72"/>
          <w:szCs w:val="72"/>
        </w:rPr>
        <w:t>O</w:t>
      </w:r>
      <w:r w:rsidR="00B92060">
        <w:rPr>
          <w:sz w:val="72"/>
          <w:szCs w:val="72"/>
        </w:rPr>
        <w:t>pioid</w:t>
      </w:r>
      <w:r>
        <w:rPr>
          <w:sz w:val="72"/>
          <w:szCs w:val="72"/>
        </w:rPr>
        <w:t xml:space="preserve"> </w:t>
      </w:r>
      <w:r w:rsidR="00B92060">
        <w:rPr>
          <w:sz w:val="72"/>
          <w:szCs w:val="72"/>
        </w:rPr>
        <w:t>Treatment Program</w:t>
      </w:r>
      <w:r w:rsidR="00BF2331">
        <w:rPr>
          <w:sz w:val="72"/>
          <w:szCs w:val="72"/>
        </w:rPr>
        <w:br/>
      </w:r>
      <w:r>
        <w:rPr>
          <w:sz w:val="72"/>
          <w:szCs w:val="72"/>
        </w:rPr>
        <w:t>C</w:t>
      </w:r>
      <w:r w:rsidR="00B92060">
        <w:rPr>
          <w:sz w:val="72"/>
          <w:szCs w:val="72"/>
        </w:rPr>
        <w:t>lient Handbook</w:t>
      </w:r>
    </w:p>
    <w:p w14:paraId="2A93E684" w14:textId="77777777" w:rsidR="00B92060" w:rsidRDefault="00B92060" w:rsidP="00F22531">
      <w:pPr>
        <w:jc w:val="center"/>
        <w:rPr>
          <w:sz w:val="44"/>
          <w:szCs w:val="44"/>
          <w:u w:val="single"/>
        </w:rPr>
      </w:pPr>
      <w:bookmarkStart w:id="0" w:name="_Hlk487785372"/>
      <w:bookmarkEnd w:id="0"/>
    </w:p>
    <w:p w14:paraId="29F389C6" w14:textId="77777777" w:rsidR="00B92060" w:rsidRDefault="00B92060" w:rsidP="00B92060">
      <w:pPr>
        <w:jc w:val="center"/>
        <w:rPr>
          <w:sz w:val="32"/>
          <w:szCs w:val="32"/>
        </w:rPr>
      </w:pPr>
      <w:r>
        <w:rPr>
          <w:sz w:val="32"/>
          <w:szCs w:val="32"/>
        </w:rPr>
        <w:t>444 BROADWAY</w:t>
      </w:r>
    </w:p>
    <w:p w14:paraId="7EF92AB2" w14:textId="77777777" w:rsidR="00B92060" w:rsidRDefault="00B92060" w:rsidP="00B92060">
      <w:pPr>
        <w:jc w:val="center"/>
        <w:rPr>
          <w:sz w:val="32"/>
          <w:szCs w:val="32"/>
        </w:rPr>
      </w:pPr>
      <w:r>
        <w:rPr>
          <w:sz w:val="32"/>
          <w:szCs w:val="32"/>
        </w:rPr>
        <w:t>MENANDS, NEW YORK 12204</w:t>
      </w:r>
    </w:p>
    <w:p w14:paraId="37E7F097" w14:textId="78750855" w:rsidR="00B92060" w:rsidRDefault="00E14F01" w:rsidP="00B92060">
      <w:pPr>
        <w:jc w:val="center"/>
        <w:rPr>
          <w:sz w:val="32"/>
          <w:szCs w:val="32"/>
        </w:rPr>
      </w:pPr>
      <w:r>
        <w:rPr>
          <w:sz w:val="32"/>
          <w:szCs w:val="32"/>
        </w:rPr>
        <w:t>Phone</w:t>
      </w:r>
      <w:r w:rsidR="00B92060">
        <w:rPr>
          <w:sz w:val="32"/>
          <w:szCs w:val="32"/>
        </w:rPr>
        <w:t>: (518)650-2966</w:t>
      </w:r>
    </w:p>
    <w:p w14:paraId="028C61F4" w14:textId="77777777" w:rsidR="00B92060" w:rsidRDefault="00B92060" w:rsidP="00F22531">
      <w:pPr>
        <w:jc w:val="center"/>
        <w:rPr>
          <w:sz w:val="44"/>
          <w:szCs w:val="44"/>
          <w:u w:val="single"/>
        </w:rPr>
      </w:pPr>
    </w:p>
    <w:p w14:paraId="1865E365" w14:textId="06D7D13C" w:rsidR="3C2F0DB6" w:rsidRDefault="3C2F0DB6" w:rsidP="3C2F0DB6">
      <w:pPr>
        <w:jc w:val="center"/>
        <w:rPr>
          <w:sz w:val="44"/>
          <w:szCs w:val="44"/>
          <w:u w:val="single"/>
        </w:rPr>
      </w:pPr>
    </w:p>
    <w:p w14:paraId="33DF9AEA" w14:textId="729E6682" w:rsidR="00F22531" w:rsidRDefault="00B92060" w:rsidP="3C2F0DB6">
      <w:pPr>
        <w:jc w:val="center"/>
        <w:rPr>
          <w:sz w:val="44"/>
          <w:szCs w:val="44"/>
          <w:u w:val="single"/>
        </w:rPr>
      </w:pPr>
      <w:r w:rsidRPr="3C2F0DB6">
        <w:rPr>
          <w:sz w:val="44"/>
          <w:szCs w:val="44"/>
          <w:u w:val="single"/>
        </w:rPr>
        <w:t>PROGRAM</w:t>
      </w:r>
      <w:r w:rsidR="00F22531" w:rsidRPr="3C2F0DB6">
        <w:rPr>
          <w:sz w:val="44"/>
          <w:szCs w:val="44"/>
          <w:u w:val="single"/>
        </w:rPr>
        <w:t xml:space="preserve"> HOURS</w:t>
      </w:r>
    </w:p>
    <w:p w14:paraId="41708DB9" w14:textId="77777777" w:rsidR="00F22531" w:rsidRDefault="00F22531" w:rsidP="00F22531">
      <w:pPr>
        <w:jc w:val="center"/>
        <w:rPr>
          <w:sz w:val="32"/>
          <w:szCs w:val="32"/>
        </w:rPr>
      </w:pPr>
      <w:r>
        <w:rPr>
          <w:sz w:val="32"/>
          <w:szCs w:val="32"/>
        </w:rPr>
        <w:t>MONDAY-FRIDAY: 5:30AM-7:00PM</w:t>
      </w:r>
    </w:p>
    <w:p w14:paraId="08524F09" w14:textId="77777777" w:rsidR="00F22531" w:rsidRDefault="00F22531" w:rsidP="00F22531">
      <w:pPr>
        <w:jc w:val="center"/>
        <w:rPr>
          <w:sz w:val="44"/>
          <w:szCs w:val="44"/>
          <w:u w:val="single"/>
        </w:rPr>
      </w:pPr>
      <w:r>
        <w:rPr>
          <w:sz w:val="44"/>
          <w:szCs w:val="44"/>
          <w:u w:val="single"/>
        </w:rPr>
        <w:t>DISPENSARY DOSING HOURS</w:t>
      </w:r>
    </w:p>
    <w:p w14:paraId="5B25BD13" w14:textId="40DD0F4A" w:rsidR="00B22C85" w:rsidRDefault="00F22531" w:rsidP="00F22531">
      <w:pPr>
        <w:jc w:val="center"/>
        <w:rPr>
          <w:sz w:val="32"/>
          <w:szCs w:val="32"/>
        </w:rPr>
      </w:pPr>
      <w:r>
        <w:rPr>
          <w:sz w:val="32"/>
          <w:szCs w:val="32"/>
        </w:rPr>
        <w:t>MONDAY-FRIDAY</w:t>
      </w:r>
      <w:r w:rsidR="00B22C85">
        <w:rPr>
          <w:sz w:val="32"/>
          <w:szCs w:val="32"/>
        </w:rPr>
        <w:t xml:space="preserve"> 5:30AM-1:</w:t>
      </w:r>
      <w:r w:rsidR="00B437FB">
        <w:rPr>
          <w:sz w:val="32"/>
          <w:szCs w:val="32"/>
        </w:rPr>
        <w:t>0</w:t>
      </w:r>
      <w:r w:rsidR="00B22C85">
        <w:rPr>
          <w:sz w:val="32"/>
          <w:szCs w:val="32"/>
        </w:rPr>
        <w:t>0PM</w:t>
      </w:r>
    </w:p>
    <w:p w14:paraId="5AF69F5F" w14:textId="77777777" w:rsidR="00B22C85" w:rsidRDefault="00B22C85" w:rsidP="00F22531">
      <w:pPr>
        <w:jc w:val="center"/>
        <w:rPr>
          <w:sz w:val="32"/>
          <w:szCs w:val="32"/>
        </w:rPr>
      </w:pPr>
      <w:r>
        <w:rPr>
          <w:sz w:val="32"/>
          <w:szCs w:val="32"/>
        </w:rPr>
        <w:t>SATURDAY 7:00AM-11:00AM</w:t>
      </w:r>
    </w:p>
    <w:p w14:paraId="56CC6D2E" w14:textId="77777777" w:rsidR="00B22C85" w:rsidRDefault="00B22C85" w:rsidP="00F22531">
      <w:pPr>
        <w:jc w:val="center"/>
        <w:rPr>
          <w:sz w:val="32"/>
          <w:szCs w:val="32"/>
        </w:rPr>
      </w:pPr>
      <w:r>
        <w:rPr>
          <w:sz w:val="32"/>
          <w:szCs w:val="32"/>
        </w:rPr>
        <w:t>SUNDAY CLOSED</w:t>
      </w:r>
    </w:p>
    <w:p w14:paraId="778C0BE2" w14:textId="77777777" w:rsidR="00B22C85" w:rsidRDefault="00B22C85" w:rsidP="00F22531">
      <w:pPr>
        <w:jc w:val="center"/>
        <w:rPr>
          <w:sz w:val="32"/>
          <w:szCs w:val="32"/>
        </w:rPr>
      </w:pPr>
      <w:r>
        <w:rPr>
          <w:sz w:val="32"/>
          <w:szCs w:val="32"/>
        </w:rPr>
        <w:lastRenderedPageBreak/>
        <w:t>CLOSED APPROVED HOLIDAYS</w:t>
      </w:r>
    </w:p>
    <w:p w14:paraId="475FE1AB" w14:textId="3D5D863D" w:rsidR="00617D63" w:rsidRPr="00F22531" w:rsidRDefault="00B22C85" w:rsidP="00B22C85">
      <w:pPr>
        <w:rPr>
          <w:sz w:val="44"/>
          <w:szCs w:val="44"/>
          <w:u w:val="single"/>
        </w:rPr>
      </w:pPr>
      <w:r>
        <w:rPr>
          <w:sz w:val="32"/>
          <w:szCs w:val="32"/>
        </w:rPr>
        <w:t xml:space="preserve">In case of a disaster or emergency preventing normal clinic operations, please call the clinic then contact the after-hours number for instructions regarding dosing procedures. </w:t>
      </w:r>
      <w:r w:rsidR="00F22531">
        <w:rPr>
          <w:sz w:val="44"/>
          <w:szCs w:val="44"/>
        </w:rPr>
        <w:t xml:space="preserve"> </w:t>
      </w:r>
    </w:p>
    <w:p w14:paraId="7917D89F" w14:textId="52696FBD" w:rsidR="00B22C85" w:rsidRDefault="00B22C85" w:rsidP="003B06DF">
      <w:pPr>
        <w:pStyle w:val="TryItBoilerplate"/>
        <w:rPr>
          <w:color w:val="FF0000"/>
        </w:rPr>
      </w:pPr>
      <w:r>
        <w:rPr>
          <w:color w:val="FF0000"/>
        </w:rPr>
        <w:t>Immediate Emergency Attention- dial 911</w:t>
      </w:r>
    </w:p>
    <w:p w14:paraId="418FEB52" w14:textId="5945D58E" w:rsidR="00B92060" w:rsidRDefault="00B92060" w:rsidP="003B06DF">
      <w:pPr>
        <w:pStyle w:val="TryItBoilerplate"/>
        <w:rPr>
          <w:color w:val="FF0000"/>
        </w:rPr>
      </w:pPr>
      <w:r>
        <w:rPr>
          <w:color w:val="FF0000"/>
        </w:rPr>
        <w:t xml:space="preserve">Never Use Alone Hotline </w:t>
      </w:r>
      <w:r w:rsidR="007957EC">
        <w:rPr>
          <w:color w:val="FF0000"/>
        </w:rPr>
        <w:t>– (877) 696 - 1996</w:t>
      </w:r>
    </w:p>
    <w:p w14:paraId="640DC464" w14:textId="5D3E47AD" w:rsidR="00B92060" w:rsidRDefault="00B92060" w:rsidP="003B06DF">
      <w:pPr>
        <w:pStyle w:val="TryItBoilerplate"/>
        <w:rPr>
          <w:color w:val="FF0000"/>
        </w:rPr>
      </w:pPr>
      <w:r>
        <w:rPr>
          <w:color w:val="FF0000"/>
        </w:rPr>
        <w:t>NYS Suicide Lifeline – dial 988</w:t>
      </w:r>
    </w:p>
    <w:p w14:paraId="048A966E" w14:textId="6AA5AB0C" w:rsidR="00B92060" w:rsidRDefault="00B92060" w:rsidP="00B92060">
      <w:pPr>
        <w:pStyle w:val="TryItBoilerplate"/>
        <w:rPr>
          <w:color w:val="FF0000"/>
        </w:rPr>
      </w:pPr>
      <w:r>
        <w:rPr>
          <w:color w:val="FF0000"/>
        </w:rPr>
        <w:t>National Hotline for Mental Health Crisis and Suicide - (800) 273-8255</w:t>
      </w:r>
    </w:p>
    <w:p w14:paraId="5A798FB2" w14:textId="5DC63A57" w:rsidR="00B92060" w:rsidRDefault="00B92060" w:rsidP="003B06DF">
      <w:pPr>
        <w:pStyle w:val="TryItBoilerplate"/>
        <w:rPr>
          <w:color w:val="FF0000"/>
        </w:rPr>
      </w:pPr>
      <w:r>
        <w:rPr>
          <w:color w:val="FF0000"/>
        </w:rPr>
        <w:t>Albany Mobile Crisis – (518) 549 – 6500</w:t>
      </w:r>
    </w:p>
    <w:p w14:paraId="530F2DE0" w14:textId="3A264EB1" w:rsidR="00B92060" w:rsidRDefault="00B92060" w:rsidP="003B06DF">
      <w:pPr>
        <w:pStyle w:val="TryItBoilerplate"/>
        <w:rPr>
          <w:color w:val="FF0000"/>
        </w:rPr>
      </w:pPr>
      <w:r>
        <w:rPr>
          <w:color w:val="FF0000"/>
        </w:rPr>
        <w:t>Northern Rivers Mobile Crisis – (518) 292 - 5499</w:t>
      </w:r>
    </w:p>
    <w:p w14:paraId="6C8867B7" w14:textId="77777777" w:rsidR="007E13D3" w:rsidRDefault="00B22C85" w:rsidP="00263938">
      <w:pPr>
        <w:pStyle w:val="TryItBoilerplate"/>
        <w:rPr>
          <w:color w:val="FF0000"/>
        </w:rPr>
      </w:pPr>
      <w:r>
        <w:rPr>
          <w:color w:val="FF0000"/>
        </w:rPr>
        <w:t>OASAS Client Advocacy services-</w:t>
      </w:r>
      <w:r w:rsidR="007E13D3">
        <w:rPr>
          <w:color w:val="FF0000"/>
        </w:rPr>
        <w:t>1-800-553-5790</w:t>
      </w:r>
    </w:p>
    <w:p w14:paraId="7E62645C" w14:textId="77777777" w:rsidR="007E13D3" w:rsidRDefault="007E13D3" w:rsidP="00263938">
      <w:pPr>
        <w:pStyle w:val="TryItBoilerplate"/>
        <w:rPr>
          <w:color w:val="FF0000"/>
        </w:rPr>
      </w:pPr>
      <w:r w:rsidRPr="007E13D3">
        <w:rPr>
          <w:color w:val="FF0000"/>
        </w:rPr>
        <w:t>NYS</w:t>
      </w:r>
      <w:r>
        <w:rPr>
          <w:color w:val="FF0000"/>
        </w:rPr>
        <w:t xml:space="preserve"> Justice Center 1-855-373-2122</w:t>
      </w:r>
    </w:p>
    <w:p w14:paraId="66BF2C68" w14:textId="77777777" w:rsidR="007E13D3" w:rsidRDefault="007E13D3" w:rsidP="00263938">
      <w:pPr>
        <w:pStyle w:val="TryItBoilerplate"/>
        <w:rPr>
          <w:color w:val="FF0000"/>
        </w:rPr>
      </w:pPr>
    </w:p>
    <w:p w14:paraId="37CE99E0" w14:textId="45BFC812" w:rsidR="3C2F0DB6" w:rsidRDefault="3C2F0DB6" w:rsidP="3C2F0DB6">
      <w:pPr>
        <w:pStyle w:val="Heading1"/>
        <w:rPr>
          <w:b/>
          <w:bCs/>
          <w:sz w:val="56"/>
          <w:szCs w:val="56"/>
        </w:rPr>
      </w:pPr>
    </w:p>
    <w:p w14:paraId="7F8B16BC" w14:textId="55C8D04F" w:rsidR="005C6D45" w:rsidRDefault="007E13D3" w:rsidP="007E13D3">
      <w:pPr>
        <w:pStyle w:val="Heading1"/>
        <w:jc w:val="center"/>
      </w:pPr>
      <w:r w:rsidRPr="3C2F0DB6">
        <w:rPr>
          <w:b/>
          <w:bCs/>
          <w:sz w:val="56"/>
          <w:szCs w:val="56"/>
        </w:rPr>
        <w:t>Welcome</w:t>
      </w:r>
    </w:p>
    <w:p w14:paraId="1A0D2DD8" w14:textId="77777777" w:rsidR="007E13D3" w:rsidRDefault="007E13D3"/>
    <w:p w14:paraId="2AEAFB37" w14:textId="1EBA04B1" w:rsidR="005C6D45" w:rsidRDefault="007E13D3">
      <w:r>
        <w:t xml:space="preserve">Congratulations on taking the first step into treatment and long- term </w:t>
      </w:r>
      <w:r w:rsidR="004A0025">
        <w:t>recovery from</w:t>
      </w:r>
      <w:r w:rsidR="00AE144E">
        <w:t xml:space="preserve"> your addiction.</w:t>
      </w:r>
      <w:r w:rsidR="00DB656C">
        <w:t xml:space="preserve"> </w:t>
      </w:r>
      <w:r w:rsidR="004A0025">
        <w:t>We are pleased</w:t>
      </w:r>
      <w:r w:rsidR="002207A2">
        <w:t xml:space="preserve"> that you have </w:t>
      </w:r>
      <w:r w:rsidR="003D493F">
        <w:t xml:space="preserve">selected </w:t>
      </w:r>
      <w:r w:rsidR="003D493F" w:rsidRPr="003D493F">
        <w:rPr>
          <w:b/>
          <w:bCs/>
        </w:rPr>
        <w:t>FUSION</w:t>
      </w:r>
      <w:r w:rsidR="00271D23">
        <w:rPr>
          <w:b/>
          <w:bCs/>
        </w:rPr>
        <w:t xml:space="preserve"> RECOVERY</w:t>
      </w:r>
      <w:r w:rsidR="003D493F">
        <w:rPr>
          <w:b/>
          <w:bCs/>
        </w:rPr>
        <w:t xml:space="preserve"> CENTER </w:t>
      </w:r>
      <w:r w:rsidR="003D493F">
        <w:t>to</w:t>
      </w:r>
      <w:r w:rsidR="007244DE">
        <w:t xml:space="preserve"> be your treatment provider and we will strive to provide you with the highest quality of treatment.</w:t>
      </w:r>
    </w:p>
    <w:p w14:paraId="7938689A" w14:textId="77777777" w:rsidR="009721C4" w:rsidRDefault="009721C4"/>
    <w:p w14:paraId="1D9B59E9" w14:textId="0411C2FA" w:rsidR="003E6BD7" w:rsidRDefault="003E6BD7">
      <w:r>
        <w:t>At this point, you may be unsure of how treatment works and what to expect. This handbook will provide you and your loved ones with answers to questions</w:t>
      </w:r>
      <w:r w:rsidR="007A0A99">
        <w:t xml:space="preserve"> you may have </w:t>
      </w:r>
      <w:r w:rsidR="000B45BA">
        <w:t>concerned</w:t>
      </w:r>
      <w:r w:rsidR="007A0A99">
        <w:t xml:space="preserve"> treatment. If you have any questions after reading this handbook</w:t>
      </w:r>
      <w:r w:rsidR="000B45BA">
        <w:t>, please ask your primary counselor or Management Team.</w:t>
      </w:r>
    </w:p>
    <w:p w14:paraId="203EB289" w14:textId="77777777" w:rsidR="009721C4" w:rsidRDefault="009721C4"/>
    <w:p w14:paraId="3AE4F0F5" w14:textId="20CE02DF" w:rsidR="00AC3E32" w:rsidRDefault="00E91C28">
      <w:r>
        <w:lastRenderedPageBreak/>
        <w:t xml:space="preserve">The information in this handbook </w:t>
      </w:r>
      <w:r w:rsidR="00AC1159">
        <w:t>are the</w:t>
      </w:r>
      <w:r>
        <w:t xml:space="preserve"> </w:t>
      </w:r>
      <w:r w:rsidR="00410D63">
        <w:t>guideline</w:t>
      </w:r>
      <w:r w:rsidR="00AC1159">
        <w:t>s</w:t>
      </w:r>
      <w:r>
        <w:t xml:space="preserve"> for </w:t>
      </w:r>
      <w:r w:rsidR="00AC1159">
        <w:t>the outpatient program</w:t>
      </w:r>
      <w:r w:rsidR="00084F69">
        <w:t xml:space="preserve">, including sometimes difficult to understand </w:t>
      </w:r>
      <w:r w:rsidR="00410D63">
        <w:t>Federal and State Regulations</w:t>
      </w:r>
      <w:r w:rsidR="00AC1159">
        <w:t xml:space="preserve"> surrounding medication assisted treatment (MAT)</w:t>
      </w:r>
      <w:r w:rsidR="00410D63">
        <w:t xml:space="preserve">. Please </w:t>
      </w:r>
      <w:r w:rsidR="0014393D">
        <w:t>refer to clinic policies and procedures</w:t>
      </w:r>
      <w:r w:rsidR="00AC1159">
        <w:t xml:space="preserve"> or speak to a staff member or a member of the management team i</w:t>
      </w:r>
      <w:r w:rsidR="0014393D">
        <w:t>f you have any questions</w:t>
      </w:r>
      <w:r w:rsidR="00AC1159">
        <w:t xml:space="preserve">, concerns or </w:t>
      </w:r>
      <w:r w:rsidR="006D2E0C">
        <w:t xml:space="preserve">are unsure of the rules when it comes to </w:t>
      </w:r>
      <w:r w:rsidR="00AC1159">
        <w:t xml:space="preserve">MAT. </w:t>
      </w:r>
    </w:p>
    <w:p w14:paraId="0D640665" w14:textId="77777777" w:rsidR="009721C4" w:rsidRDefault="009721C4"/>
    <w:p w14:paraId="56387875" w14:textId="4F71F70C" w:rsidR="007957EC" w:rsidRDefault="002E3A73">
      <w:r>
        <w:t>FUSION RECOVERY MISSION STATEMENT:</w:t>
      </w:r>
      <w:r w:rsidR="00AC3E32">
        <w:t xml:space="preserve"> At Fusion Recovery, our mission is to make everyone who walks through our doors feel safe and comfortable</w:t>
      </w:r>
      <w:r w:rsidR="003204F3">
        <w:t xml:space="preserve"> while seeking treatment. We pride ourselves on our dedication to helping people fight the disease of addiction and working towards</w:t>
      </w:r>
      <w:r w:rsidR="009721C4">
        <w:t xml:space="preserve"> a better future for our patients.</w:t>
      </w:r>
      <w:r w:rsidR="003204F3">
        <w:t xml:space="preserve">  </w:t>
      </w:r>
    </w:p>
    <w:p w14:paraId="27B1DB10" w14:textId="77777777" w:rsidR="00D556B4" w:rsidRDefault="00D556B4"/>
    <w:p w14:paraId="7B0C0249" w14:textId="77777777" w:rsidR="00AC1159" w:rsidRDefault="00AC1159">
      <w:pPr>
        <w:rPr>
          <w:sz w:val="28"/>
          <w:szCs w:val="28"/>
        </w:rPr>
      </w:pPr>
    </w:p>
    <w:p w14:paraId="0F77E433" w14:textId="77777777" w:rsidR="00D556B4" w:rsidRDefault="00D556B4">
      <w:pPr>
        <w:rPr>
          <w:sz w:val="28"/>
          <w:szCs w:val="28"/>
        </w:rPr>
      </w:pPr>
    </w:p>
    <w:p w14:paraId="3BCBAA77" w14:textId="77777777" w:rsidR="00D556B4" w:rsidRDefault="00D556B4">
      <w:pPr>
        <w:rPr>
          <w:sz w:val="28"/>
          <w:szCs w:val="28"/>
        </w:rPr>
      </w:pPr>
    </w:p>
    <w:p w14:paraId="5C9214CC" w14:textId="0BFAC908" w:rsidR="00D556B4" w:rsidRDefault="00D556B4" w:rsidP="3C2F0DB6">
      <w:pPr>
        <w:rPr>
          <w:sz w:val="28"/>
          <w:szCs w:val="28"/>
        </w:rPr>
      </w:pPr>
    </w:p>
    <w:p w14:paraId="67B2E0C7" w14:textId="7BA5F996" w:rsidR="007957EC" w:rsidRDefault="00D556B4" w:rsidP="000D3F77">
      <w:pPr>
        <w:rPr>
          <w:sz w:val="28"/>
          <w:szCs w:val="28"/>
        </w:rPr>
      </w:pPr>
      <w:r>
        <w:rPr>
          <w:sz w:val="28"/>
          <w:szCs w:val="28"/>
        </w:rPr>
        <w:t>Table of Contents:</w:t>
      </w:r>
    </w:p>
    <w:p w14:paraId="4ABFA7CF" w14:textId="0F90F0E9" w:rsidR="009634F7" w:rsidRPr="009634F7" w:rsidRDefault="009634F7" w:rsidP="009634F7">
      <w:pPr>
        <w:pStyle w:val="ListParagraph"/>
        <w:numPr>
          <w:ilvl w:val="0"/>
          <w:numId w:val="11"/>
        </w:numPr>
      </w:pPr>
      <w:r w:rsidRPr="009634F7">
        <w:t>Introduction</w:t>
      </w:r>
    </w:p>
    <w:p w14:paraId="35957A9B" w14:textId="62B9DE45" w:rsidR="009634F7" w:rsidRDefault="009634F7" w:rsidP="009634F7">
      <w:pPr>
        <w:pStyle w:val="ListParagraph"/>
        <w:numPr>
          <w:ilvl w:val="0"/>
          <w:numId w:val="11"/>
        </w:numPr>
      </w:pPr>
      <w:r>
        <w:t>Admission</w:t>
      </w:r>
    </w:p>
    <w:p w14:paraId="64AE4189" w14:textId="6187779B" w:rsidR="009634F7" w:rsidRDefault="009634F7" w:rsidP="009634F7">
      <w:pPr>
        <w:pStyle w:val="ListParagraph"/>
        <w:numPr>
          <w:ilvl w:val="0"/>
          <w:numId w:val="11"/>
        </w:numPr>
      </w:pPr>
      <w:r>
        <w:t>Treatment Guidelines</w:t>
      </w:r>
    </w:p>
    <w:p w14:paraId="32460C01" w14:textId="616B7524" w:rsidR="009634F7" w:rsidRDefault="009634F7" w:rsidP="009634F7">
      <w:pPr>
        <w:pStyle w:val="ListParagraph"/>
        <w:numPr>
          <w:ilvl w:val="1"/>
          <w:numId w:val="11"/>
        </w:numPr>
      </w:pPr>
      <w:r>
        <w:t>Clinical Services</w:t>
      </w:r>
    </w:p>
    <w:p w14:paraId="4511DD0B" w14:textId="4E9B57E5" w:rsidR="009634F7" w:rsidRDefault="009634F7" w:rsidP="009634F7">
      <w:pPr>
        <w:pStyle w:val="ListParagraph"/>
        <w:numPr>
          <w:ilvl w:val="1"/>
          <w:numId w:val="11"/>
        </w:numPr>
      </w:pPr>
      <w:r>
        <w:t>Medical Services</w:t>
      </w:r>
    </w:p>
    <w:p w14:paraId="4C184ED4" w14:textId="291600B6" w:rsidR="009634F7" w:rsidRDefault="009634F7" w:rsidP="009634F7">
      <w:pPr>
        <w:pStyle w:val="ListParagraph"/>
        <w:numPr>
          <w:ilvl w:val="1"/>
          <w:numId w:val="11"/>
        </w:numPr>
      </w:pPr>
      <w:r>
        <w:t>Toxicology</w:t>
      </w:r>
    </w:p>
    <w:p w14:paraId="68E4E261" w14:textId="19DB9B76" w:rsidR="009634F7" w:rsidRDefault="009634F7" w:rsidP="009634F7">
      <w:pPr>
        <w:pStyle w:val="ListParagraph"/>
        <w:numPr>
          <w:ilvl w:val="1"/>
          <w:numId w:val="11"/>
        </w:numPr>
      </w:pPr>
      <w:r>
        <w:t>Medication Policy</w:t>
      </w:r>
    </w:p>
    <w:p w14:paraId="0FB5BEAA" w14:textId="72F4D6F8" w:rsidR="009634F7" w:rsidRDefault="009634F7" w:rsidP="009634F7">
      <w:pPr>
        <w:pStyle w:val="ListParagraph"/>
        <w:numPr>
          <w:ilvl w:val="1"/>
          <w:numId w:val="11"/>
        </w:numPr>
      </w:pPr>
      <w:r>
        <w:t>Discharge</w:t>
      </w:r>
    </w:p>
    <w:p w14:paraId="0C150368" w14:textId="6F6226BA" w:rsidR="009634F7" w:rsidRDefault="009634F7" w:rsidP="009634F7">
      <w:pPr>
        <w:pStyle w:val="ListParagraph"/>
        <w:numPr>
          <w:ilvl w:val="0"/>
          <w:numId w:val="11"/>
        </w:numPr>
      </w:pPr>
      <w:r>
        <w:t>General Program Rules</w:t>
      </w:r>
    </w:p>
    <w:p w14:paraId="1A73AF78" w14:textId="39DCD15D" w:rsidR="006D34B9" w:rsidRDefault="006D34B9" w:rsidP="006D34B9">
      <w:pPr>
        <w:pStyle w:val="ListParagraph"/>
        <w:numPr>
          <w:ilvl w:val="1"/>
          <w:numId w:val="11"/>
        </w:numPr>
      </w:pPr>
      <w:r>
        <w:t>Group Rules</w:t>
      </w:r>
    </w:p>
    <w:p w14:paraId="525FDE6A" w14:textId="374F55CA" w:rsidR="006D34B9" w:rsidRDefault="006D34B9" w:rsidP="006D34B9">
      <w:pPr>
        <w:pStyle w:val="ListParagraph"/>
        <w:numPr>
          <w:ilvl w:val="1"/>
          <w:numId w:val="11"/>
        </w:numPr>
      </w:pPr>
      <w:r>
        <w:t>Tobacco Free Policies</w:t>
      </w:r>
    </w:p>
    <w:p w14:paraId="4825763E" w14:textId="039CBDD1" w:rsidR="006D34B9" w:rsidRPr="009634F7" w:rsidRDefault="006D34B9" w:rsidP="006D34B9">
      <w:pPr>
        <w:pStyle w:val="ListParagraph"/>
        <w:numPr>
          <w:ilvl w:val="1"/>
          <w:numId w:val="11"/>
        </w:numPr>
      </w:pPr>
      <w:r>
        <w:t xml:space="preserve">Loitering Policy </w:t>
      </w:r>
    </w:p>
    <w:p w14:paraId="1D307012" w14:textId="0B7B263D" w:rsidR="009634F7" w:rsidRDefault="009634F7" w:rsidP="009634F7">
      <w:pPr>
        <w:pStyle w:val="ListParagraph"/>
        <w:numPr>
          <w:ilvl w:val="0"/>
          <w:numId w:val="11"/>
        </w:numPr>
      </w:pPr>
      <w:r>
        <w:t xml:space="preserve">Administrative </w:t>
      </w:r>
    </w:p>
    <w:p w14:paraId="77E2B9B6" w14:textId="155460A0" w:rsidR="009634F7" w:rsidRDefault="009634F7" w:rsidP="009634F7">
      <w:pPr>
        <w:pStyle w:val="ListParagraph"/>
        <w:numPr>
          <w:ilvl w:val="1"/>
          <w:numId w:val="11"/>
        </w:numPr>
      </w:pPr>
      <w:r>
        <w:t>Client Rights</w:t>
      </w:r>
    </w:p>
    <w:p w14:paraId="14245488" w14:textId="78EB5027" w:rsidR="009634F7" w:rsidRDefault="009634F7" w:rsidP="009634F7">
      <w:pPr>
        <w:pStyle w:val="ListParagraph"/>
        <w:numPr>
          <w:ilvl w:val="1"/>
          <w:numId w:val="11"/>
        </w:numPr>
      </w:pPr>
      <w:r>
        <w:t>Code of Ethics</w:t>
      </w:r>
    </w:p>
    <w:p w14:paraId="1981A2EB" w14:textId="1C28DC78" w:rsidR="009634F7" w:rsidRDefault="009634F7" w:rsidP="009634F7">
      <w:pPr>
        <w:pStyle w:val="ListParagraph"/>
        <w:numPr>
          <w:ilvl w:val="1"/>
          <w:numId w:val="11"/>
        </w:numPr>
      </w:pPr>
      <w:r>
        <w:t>Administrative Discharge</w:t>
      </w:r>
    </w:p>
    <w:p w14:paraId="66481A5C" w14:textId="3FD8505E" w:rsidR="009634F7" w:rsidRDefault="009634F7" w:rsidP="009634F7">
      <w:pPr>
        <w:pStyle w:val="ListParagraph"/>
        <w:numPr>
          <w:ilvl w:val="0"/>
          <w:numId w:val="11"/>
        </w:numPr>
      </w:pPr>
      <w:r>
        <w:t>OTP Rules and Policies</w:t>
      </w:r>
    </w:p>
    <w:p w14:paraId="782E3523" w14:textId="5880561F" w:rsidR="009634F7" w:rsidRDefault="009634F7" w:rsidP="009634F7">
      <w:pPr>
        <w:pStyle w:val="ListParagraph"/>
        <w:numPr>
          <w:ilvl w:val="1"/>
          <w:numId w:val="11"/>
        </w:numPr>
      </w:pPr>
      <w:r>
        <w:t>Guest Dosing</w:t>
      </w:r>
    </w:p>
    <w:p w14:paraId="723C20F2" w14:textId="39E4603E" w:rsidR="009634F7" w:rsidRDefault="009634F7" w:rsidP="009634F7">
      <w:pPr>
        <w:pStyle w:val="ListParagraph"/>
        <w:numPr>
          <w:ilvl w:val="1"/>
          <w:numId w:val="11"/>
        </w:numPr>
      </w:pPr>
      <w:r>
        <w:lastRenderedPageBreak/>
        <w:t>Absences from Treatment</w:t>
      </w:r>
    </w:p>
    <w:p w14:paraId="68826E6A" w14:textId="601EBE4B" w:rsidR="009634F7" w:rsidRDefault="009634F7" w:rsidP="009634F7">
      <w:pPr>
        <w:pStyle w:val="ListParagraph"/>
        <w:numPr>
          <w:ilvl w:val="1"/>
          <w:numId w:val="11"/>
        </w:numPr>
      </w:pPr>
      <w:r>
        <w:t>Takehome Policies</w:t>
      </w:r>
    </w:p>
    <w:p w14:paraId="2AF902FC" w14:textId="60409970" w:rsidR="009634F7" w:rsidRDefault="009634F7" w:rsidP="009634F7">
      <w:pPr>
        <w:pStyle w:val="ListParagraph"/>
        <w:numPr>
          <w:ilvl w:val="2"/>
          <w:numId w:val="11"/>
        </w:numPr>
      </w:pPr>
      <w:r>
        <w:t>Medication Recalls</w:t>
      </w:r>
    </w:p>
    <w:p w14:paraId="4AD3CBB5" w14:textId="5F57B01A" w:rsidR="009634F7" w:rsidRDefault="009634F7" w:rsidP="009634F7">
      <w:pPr>
        <w:pStyle w:val="ListParagraph"/>
        <w:numPr>
          <w:ilvl w:val="2"/>
          <w:numId w:val="11"/>
        </w:numPr>
      </w:pPr>
      <w:r>
        <w:t>Takehome Revocation</w:t>
      </w:r>
    </w:p>
    <w:p w14:paraId="73E2B84E" w14:textId="1C18BFC9" w:rsidR="009634F7" w:rsidRDefault="009634F7" w:rsidP="009634F7">
      <w:pPr>
        <w:pStyle w:val="ListParagraph"/>
        <w:numPr>
          <w:ilvl w:val="1"/>
          <w:numId w:val="11"/>
        </w:numPr>
      </w:pPr>
      <w:r>
        <w:t xml:space="preserve">Transfer </w:t>
      </w:r>
    </w:p>
    <w:p w14:paraId="7728219F" w14:textId="1132EBD4" w:rsidR="009634F7" w:rsidRDefault="009634F7" w:rsidP="009634F7">
      <w:pPr>
        <w:pStyle w:val="ListParagraph"/>
        <w:numPr>
          <w:ilvl w:val="0"/>
          <w:numId w:val="11"/>
        </w:numPr>
      </w:pPr>
      <w:r>
        <w:t xml:space="preserve">Medications Used in Treatment </w:t>
      </w:r>
    </w:p>
    <w:p w14:paraId="01B34CE6" w14:textId="4077E302" w:rsidR="009634F7" w:rsidRDefault="009634F7" w:rsidP="009634F7">
      <w:pPr>
        <w:pStyle w:val="ListParagraph"/>
        <w:numPr>
          <w:ilvl w:val="1"/>
          <w:numId w:val="11"/>
        </w:numPr>
      </w:pPr>
      <w:r>
        <w:t>Methadone</w:t>
      </w:r>
    </w:p>
    <w:p w14:paraId="60E68E1B" w14:textId="7AC8774C" w:rsidR="009634F7" w:rsidRDefault="009634F7" w:rsidP="009634F7">
      <w:pPr>
        <w:pStyle w:val="ListParagraph"/>
        <w:numPr>
          <w:ilvl w:val="1"/>
          <w:numId w:val="11"/>
        </w:numPr>
      </w:pPr>
      <w:r>
        <w:t>Buprenorphine</w:t>
      </w:r>
    </w:p>
    <w:p w14:paraId="41DDA49A" w14:textId="028A8F79" w:rsidR="009634F7" w:rsidRDefault="009634F7" w:rsidP="009634F7">
      <w:pPr>
        <w:pStyle w:val="ListParagraph"/>
        <w:numPr>
          <w:ilvl w:val="1"/>
          <w:numId w:val="11"/>
        </w:numPr>
      </w:pPr>
      <w:r>
        <w:t xml:space="preserve">Naltrexone </w:t>
      </w:r>
    </w:p>
    <w:p w14:paraId="599EC7AC" w14:textId="39BD1BE1" w:rsidR="009634F7" w:rsidRPr="00D96063" w:rsidRDefault="006D34B9" w:rsidP="009634F7">
      <w:pPr>
        <w:pStyle w:val="ListParagraph"/>
        <w:numPr>
          <w:ilvl w:val="0"/>
          <w:numId w:val="11"/>
        </w:numPr>
        <w:rPr>
          <w:b/>
          <w:bCs/>
        </w:rPr>
      </w:pPr>
      <w:r>
        <w:t>Pregnancy and MAT</w:t>
      </w:r>
    </w:p>
    <w:p w14:paraId="12DF2464" w14:textId="1A4DE2F2" w:rsidR="009634F7" w:rsidRPr="00232342" w:rsidRDefault="006D34B9" w:rsidP="009634F7">
      <w:pPr>
        <w:pStyle w:val="ListParagraph"/>
        <w:numPr>
          <w:ilvl w:val="0"/>
          <w:numId w:val="11"/>
        </w:numPr>
        <w:rPr>
          <w:b/>
          <w:bCs/>
        </w:rPr>
      </w:pPr>
      <w:r>
        <w:t xml:space="preserve">Communicable Disease Information </w:t>
      </w:r>
    </w:p>
    <w:p w14:paraId="1E01EBCC" w14:textId="77777777" w:rsidR="009634F7" w:rsidRPr="009634F7" w:rsidRDefault="009634F7" w:rsidP="000D3F77">
      <w:pPr>
        <w:rPr>
          <w:sz w:val="28"/>
          <w:szCs w:val="28"/>
        </w:rPr>
      </w:pPr>
    </w:p>
    <w:p w14:paraId="6B76144E" w14:textId="77777777" w:rsidR="007957EC" w:rsidRDefault="007957EC" w:rsidP="000D3F77">
      <w:pPr>
        <w:rPr>
          <w:b/>
          <w:bCs/>
        </w:rPr>
      </w:pPr>
    </w:p>
    <w:p w14:paraId="1182F432" w14:textId="77777777" w:rsidR="007957EC" w:rsidRDefault="007957EC" w:rsidP="000D3F77">
      <w:pPr>
        <w:rPr>
          <w:b/>
          <w:bCs/>
        </w:rPr>
      </w:pPr>
    </w:p>
    <w:p w14:paraId="4DFB248D" w14:textId="1667F947" w:rsidR="3C2F0DB6" w:rsidRDefault="3C2F0DB6" w:rsidP="3C2F0DB6">
      <w:pPr>
        <w:rPr>
          <w:b/>
          <w:bCs/>
        </w:rPr>
      </w:pPr>
    </w:p>
    <w:p w14:paraId="142D1A0F" w14:textId="22A9E46F" w:rsidR="006D34B9" w:rsidRDefault="006D34B9" w:rsidP="2C0C4CB2">
      <w:pPr>
        <w:jc w:val="center"/>
        <w:rPr>
          <w:b/>
          <w:bCs/>
        </w:rPr>
      </w:pPr>
      <w:r w:rsidRPr="2C0C4CB2">
        <w:rPr>
          <w:b/>
          <w:bCs/>
        </w:rPr>
        <w:t>Introduction</w:t>
      </w:r>
    </w:p>
    <w:p w14:paraId="0E7C8DC1" w14:textId="7A43C017" w:rsidR="008D5C31" w:rsidRDefault="000D3F77" w:rsidP="00DE4168">
      <w:pPr>
        <w:pStyle w:val="ListNumber"/>
        <w:numPr>
          <w:ilvl w:val="0"/>
          <w:numId w:val="0"/>
        </w:numPr>
        <w:rPr>
          <w:b/>
          <w:bCs/>
        </w:rPr>
      </w:pPr>
      <w:r>
        <w:rPr>
          <w:b/>
          <w:bCs/>
        </w:rPr>
        <w:t>Treatment at FUSION RECOVERY CENTER is based on the following beliefs and principles:</w:t>
      </w:r>
    </w:p>
    <w:p w14:paraId="5578355E" w14:textId="77777777" w:rsidR="00AD7F10" w:rsidRDefault="00A52CAC" w:rsidP="0048420C">
      <w:pPr>
        <w:pStyle w:val="ListNumber"/>
        <w:numPr>
          <w:ilvl w:val="0"/>
          <w:numId w:val="12"/>
        </w:numPr>
      </w:pPr>
      <w:r w:rsidRPr="00A52CAC">
        <w:t>The</w:t>
      </w:r>
      <w:r>
        <w:t xml:space="preserve"> goal for our clients is to abstain from all substances of abuse, and if p</w:t>
      </w:r>
      <w:r w:rsidR="006C1972">
        <w:t>referable to the client, to eventually successfully</w:t>
      </w:r>
      <w:r w:rsidR="00F4527F">
        <w:t xml:space="preserve"> complete treatment and taper off </w:t>
      </w:r>
      <w:r w:rsidR="00AD7F10">
        <w:t>medication assisted treatment. There is potential for relapse and overdose on discontinuation of the medication.</w:t>
      </w:r>
    </w:p>
    <w:p w14:paraId="23E7ED19" w14:textId="2D53EAA7" w:rsidR="00420ED5" w:rsidRDefault="00EC27F3" w:rsidP="0048420C">
      <w:pPr>
        <w:pStyle w:val="ListNumber"/>
        <w:numPr>
          <w:ilvl w:val="0"/>
          <w:numId w:val="12"/>
        </w:numPr>
      </w:pPr>
      <w:r>
        <w:t xml:space="preserve">Medication assisted treatment to include Methadone, Buprenorphine, and Vivitrol </w:t>
      </w:r>
      <w:r w:rsidR="00FD2BD8">
        <w:t>are available</w:t>
      </w:r>
      <w:r w:rsidR="0051245D">
        <w:t xml:space="preserve"> tools in the treatment process to reduce your urge to use illicit </w:t>
      </w:r>
      <w:r w:rsidR="00FE517C">
        <w:t>opiates.</w:t>
      </w:r>
      <w:r w:rsidR="00FD2BD8">
        <w:t xml:space="preserve"> Clinical services</w:t>
      </w:r>
      <w:r w:rsidR="00135DE7">
        <w:t xml:space="preserve"> that are </w:t>
      </w:r>
      <w:r w:rsidR="00C149B2">
        <w:t>crucial to successful recovery from addiction</w:t>
      </w:r>
      <w:r w:rsidR="00F72B23">
        <w:t xml:space="preserve"> include individual counseling services and group therapy services. Counseling provides skills needed to prevent relapse, change lifestyles, reduce risks, improve health, and build new healthy relationships as </w:t>
      </w:r>
      <w:r w:rsidR="0014066D">
        <w:t>well as your recovery progresses.</w:t>
      </w:r>
    </w:p>
    <w:p w14:paraId="32E4FF28" w14:textId="345FF46A" w:rsidR="0014066D" w:rsidRDefault="0014066D" w:rsidP="0048420C">
      <w:pPr>
        <w:pStyle w:val="ListNumber"/>
        <w:numPr>
          <w:ilvl w:val="0"/>
          <w:numId w:val="12"/>
        </w:numPr>
      </w:pPr>
      <w:r>
        <w:t>All medications to treat opioid use disorders</w:t>
      </w:r>
      <w:r w:rsidR="000872B3">
        <w:t xml:space="preserve"> will be prescribed as a part comprehensive individualized treatment plan that includes counseling and other psycho</w:t>
      </w:r>
      <w:r w:rsidR="001928CA">
        <w:t>social therapies, as well as social support through participation in self-help and mutual aid</w:t>
      </w:r>
      <w:r w:rsidR="00F364BC">
        <w:t xml:space="preserve"> programs.</w:t>
      </w:r>
    </w:p>
    <w:p w14:paraId="30D666F7" w14:textId="2ACA9403" w:rsidR="008D5C31" w:rsidRDefault="00F364BC" w:rsidP="0048420C">
      <w:pPr>
        <w:pStyle w:val="ListNumber"/>
        <w:numPr>
          <w:ilvl w:val="0"/>
          <w:numId w:val="12"/>
        </w:numPr>
      </w:pPr>
      <w:r>
        <w:t xml:space="preserve">Each client will be treated with respect and dignity. We expect that staff will be treated with the same respect. Clients need to work with their </w:t>
      </w:r>
      <w:r w:rsidR="000C42C7">
        <w:t>counselors to make informed decisions about their treatment needs, plans, and goals. Positive changes will be supported, recognized</w:t>
      </w:r>
      <w:r w:rsidR="00B713A0">
        <w:t>, and encouraged. We realize that successful abstinence and recovery from addiction requires treating the whole person.</w:t>
      </w:r>
    </w:p>
    <w:p w14:paraId="1B849650" w14:textId="1A94105F" w:rsidR="008D5C31" w:rsidRDefault="0006617B" w:rsidP="0048420C">
      <w:pPr>
        <w:pStyle w:val="ListNumber"/>
        <w:numPr>
          <w:ilvl w:val="0"/>
          <w:numId w:val="12"/>
        </w:numPr>
      </w:pPr>
      <w:r>
        <w:lastRenderedPageBreak/>
        <w:t xml:space="preserve">Treatment is </w:t>
      </w:r>
      <w:r w:rsidR="00215368">
        <w:t>individualized because</w:t>
      </w:r>
      <w:r w:rsidR="00502818">
        <w:t xml:space="preserve"> no single</w:t>
      </w:r>
      <w:r w:rsidR="00D32F7D">
        <w:t xml:space="preserve"> treatment is appropriate for all individuals.</w:t>
      </w:r>
      <w:r w:rsidR="00FA5035">
        <w:t xml:space="preserve"> Clients</w:t>
      </w:r>
      <w:r w:rsidR="00215368">
        <w:t xml:space="preserve"> with strong spiritual beliefs may benefit from </w:t>
      </w:r>
      <w:r w:rsidR="007E7183">
        <w:t>12-Step programs and outside support groups, while others may respond to various behavioral therapies.</w:t>
      </w:r>
      <w:r w:rsidR="006C3DCC">
        <w:t xml:space="preserve"> Treatment should </w:t>
      </w:r>
      <w:r w:rsidR="00F52412">
        <w:t>be built</w:t>
      </w:r>
      <w:r w:rsidR="006C3DCC">
        <w:t xml:space="preserve"> on client strengths and preferences</w:t>
      </w:r>
      <w:r w:rsidR="003810EB">
        <w:t>.</w:t>
      </w:r>
    </w:p>
    <w:p w14:paraId="63DEA7B7" w14:textId="77777777" w:rsidR="00A1596F" w:rsidRDefault="00184CEE" w:rsidP="0048420C">
      <w:pPr>
        <w:pStyle w:val="ListNumber"/>
        <w:numPr>
          <w:ilvl w:val="0"/>
          <w:numId w:val="12"/>
        </w:numPr>
      </w:pPr>
      <w:r>
        <w:t xml:space="preserve">We strive to provide excellent client services and we value your input. You may </w:t>
      </w:r>
      <w:r w:rsidR="00964BF2">
        <w:t>submit</w:t>
      </w:r>
      <w:r w:rsidR="005D0BF9">
        <w:t xml:space="preserve"> your concerns and/or suggestions at any time to the Clinical Director</w:t>
      </w:r>
      <w:r w:rsidR="000B5732">
        <w:t>, Program Director, Operations Director and /or the Chief Executive Director</w:t>
      </w:r>
      <w:r w:rsidR="00A1596F">
        <w:t>.</w:t>
      </w:r>
    </w:p>
    <w:p w14:paraId="20F7E546" w14:textId="77777777" w:rsidR="00B44C4D" w:rsidRDefault="00A1596F" w:rsidP="0048420C">
      <w:pPr>
        <w:pStyle w:val="ListNumber"/>
        <w:numPr>
          <w:ilvl w:val="0"/>
          <w:numId w:val="12"/>
        </w:numPr>
      </w:pPr>
      <w:r>
        <w:t>Recovery from addiction can be a long-term process which may require treatment changes, medical and counselor interventions and in some instances, involuntary taper and suspension of medication assisted treatment services from Methadone, Bu</w:t>
      </w:r>
      <w:r w:rsidR="00B44C4D">
        <w:t>prenorphine and/ or Vivitrol.</w:t>
      </w:r>
    </w:p>
    <w:p w14:paraId="7BE14F50" w14:textId="77777777" w:rsidR="006D34B9" w:rsidRDefault="001F0B5A" w:rsidP="006D34B9">
      <w:pPr>
        <w:pStyle w:val="ListNumber"/>
        <w:numPr>
          <w:ilvl w:val="0"/>
          <w:numId w:val="12"/>
        </w:numPr>
      </w:pPr>
      <w:r>
        <w:t xml:space="preserve">Our purpose </w:t>
      </w:r>
      <w:r w:rsidR="00F52412">
        <w:t>is to</w:t>
      </w:r>
      <w:r>
        <w:t xml:space="preserve"> point you in the right direction of freedom and health and to </w:t>
      </w:r>
      <w:r w:rsidR="00F52412">
        <w:t>ensure</w:t>
      </w:r>
      <w:r>
        <w:t xml:space="preserve"> that you have </w:t>
      </w:r>
      <w:r w:rsidR="00CE36C6">
        <w:t>the proper tools for the successful management of your condition.</w:t>
      </w:r>
      <w:r w:rsidR="005D0BF9">
        <w:t xml:space="preserve"> </w:t>
      </w:r>
    </w:p>
    <w:p w14:paraId="39BC98DD" w14:textId="0B8EAF22" w:rsidR="008D5C31" w:rsidRPr="006D34B9" w:rsidRDefault="00495D4D" w:rsidP="006D34B9">
      <w:pPr>
        <w:pStyle w:val="ListNumber"/>
        <w:numPr>
          <w:ilvl w:val="0"/>
          <w:numId w:val="0"/>
        </w:numPr>
        <w:ind w:left="720"/>
        <w:jc w:val="center"/>
      </w:pPr>
      <w:r w:rsidRPr="006D34B9">
        <w:rPr>
          <w:b/>
          <w:bCs/>
        </w:rPr>
        <w:t>Fusion Recovery Clinical and Medical Treatment Program Staff</w:t>
      </w:r>
    </w:p>
    <w:p w14:paraId="30485B28" w14:textId="77777777" w:rsidR="008D5C31" w:rsidRDefault="008D5C31" w:rsidP="00DE4168">
      <w:pPr>
        <w:pStyle w:val="ListNumber"/>
        <w:numPr>
          <w:ilvl w:val="0"/>
          <w:numId w:val="0"/>
        </w:numPr>
      </w:pPr>
    </w:p>
    <w:p w14:paraId="7521C345" w14:textId="07EF9488" w:rsidR="008D5C31" w:rsidRDefault="00495D4D" w:rsidP="00DE4168">
      <w:pPr>
        <w:pStyle w:val="ListNumber"/>
        <w:numPr>
          <w:ilvl w:val="0"/>
          <w:numId w:val="0"/>
        </w:numPr>
      </w:pPr>
      <w:r>
        <w:t>Medical Staff</w:t>
      </w:r>
      <w:r w:rsidR="00D87746">
        <w:t>:</w:t>
      </w:r>
    </w:p>
    <w:p w14:paraId="7BA5AD0D" w14:textId="333B3F99" w:rsidR="00A15381" w:rsidRDefault="003179BE" w:rsidP="00DE4168">
      <w:pPr>
        <w:pStyle w:val="ListNumber"/>
        <w:numPr>
          <w:ilvl w:val="0"/>
          <w:numId w:val="0"/>
        </w:numPr>
      </w:pPr>
      <w:r>
        <w:t>Shontay Monk-Burt</w:t>
      </w:r>
      <w:r w:rsidR="00D556B4">
        <w:t>, RN</w:t>
      </w:r>
      <w:r>
        <w:t>- Director of Nursing</w:t>
      </w:r>
    </w:p>
    <w:p w14:paraId="2424E5E1" w14:textId="5E4D9BF0" w:rsidR="00AB3E67" w:rsidRDefault="00AB3E67" w:rsidP="00DE4168">
      <w:pPr>
        <w:pStyle w:val="ListNumber"/>
        <w:numPr>
          <w:ilvl w:val="0"/>
          <w:numId w:val="0"/>
        </w:numPr>
      </w:pPr>
      <w:r>
        <w:t>Dr.</w:t>
      </w:r>
      <w:r w:rsidR="000D716A">
        <w:t xml:space="preserve"> Kent Hoffman – Chief Medical Officer </w:t>
      </w:r>
    </w:p>
    <w:p w14:paraId="7D4B1CA5" w14:textId="77777777" w:rsidR="00CC3934" w:rsidRDefault="00CC3934" w:rsidP="00DE4168">
      <w:pPr>
        <w:pStyle w:val="ListNumber"/>
        <w:numPr>
          <w:ilvl w:val="0"/>
          <w:numId w:val="0"/>
        </w:numPr>
      </w:pPr>
    </w:p>
    <w:p w14:paraId="65E9F970" w14:textId="0AABFDD4" w:rsidR="00D87746" w:rsidRDefault="000D716A" w:rsidP="00DE4168">
      <w:pPr>
        <w:pStyle w:val="ListNumber"/>
        <w:numPr>
          <w:ilvl w:val="0"/>
          <w:numId w:val="0"/>
        </w:numPr>
      </w:pPr>
      <w:r>
        <w:t>Management</w:t>
      </w:r>
      <w:r w:rsidR="00D87746">
        <w:t xml:space="preserve"> Team:</w:t>
      </w:r>
    </w:p>
    <w:p w14:paraId="46CEC4CB" w14:textId="605C54BB" w:rsidR="00CC3934" w:rsidRDefault="000D716A" w:rsidP="00DE4168">
      <w:pPr>
        <w:pStyle w:val="ListNumber"/>
        <w:numPr>
          <w:ilvl w:val="0"/>
          <w:numId w:val="0"/>
        </w:numPr>
      </w:pPr>
      <w:r>
        <w:t xml:space="preserve">Mark Leach, LMHC </w:t>
      </w:r>
      <w:r w:rsidR="00CC3934">
        <w:t>-Program Director</w:t>
      </w:r>
    </w:p>
    <w:p w14:paraId="2C1FA8CB" w14:textId="45A7FA4E" w:rsidR="00CC3934" w:rsidRDefault="000D716A" w:rsidP="00DE4168">
      <w:pPr>
        <w:pStyle w:val="ListNumber"/>
        <w:numPr>
          <w:ilvl w:val="0"/>
          <w:numId w:val="0"/>
        </w:numPr>
      </w:pPr>
      <w:r>
        <w:t xml:space="preserve">Laurie Hamblin, CASAC 2 – Assistant Program Director </w:t>
      </w:r>
    </w:p>
    <w:p w14:paraId="4CB1CB5A" w14:textId="1AB4336F" w:rsidR="00FC26A8" w:rsidRDefault="000D716A" w:rsidP="00DE4168">
      <w:pPr>
        <w:pStyle w:val="ListNumber"/>
        <w:numPr>
          <w:ilvl w:val="0"/>
          <w:numId w:val="0"/>
        </w:numPr>
      </w:pPr>
      <w:r>
        <w:t xml:space="preserve">Brittney Abbott, CASAC-A – Clinical Supervisor </w:t>
      </w:r>
    </w:p>
    <w:p w14:paraId="35ECFBC3" w14:textId="77777777" w:rsidR="00E43A7F" w:rsidRDefault="00E43A7F" w:rsidP="00DE4168">
      <w:pPr>
        <w:pStyle w:val="ListNumber"/>
        <w:numPr>
          <w:ilvl w:val="0"/>
          <w:numId w:val="0"/>
        </w:numPr>
        <w:sectPr w:rsidR="00E43A7F" w:rsidSect="006D34B9">
          <w:footerReference w:type="default" r:id="rId11"/>
          <w:pgSz w:w="12240" w:h="15840"/>
          <w:pgMar w:top="1440" w:right="1440" w:bottom="1440" w:left="1440" w:header="288" w:footer="720" w:gutter="0"/>
          <w:pgNumType w:start="0"/>
          <w:cols w:space="720"/>
          <w:docGrid w:linePitch="360"/>
        </w:sectPr>
      </w:pPr>
    </w:p>
    <w:p w14:paraId="4C34BDBE" w14:textId="77777777" w:rsidR="00DE260C" w:rsidRDefault="00DE260C" w:rsidP="00DE4168">
      <w:pPr>
        <w:pStyle w:val="ListNumber"/>
        <w:numPr>
          <w:ilvl w:val="0"/>
          <w:numId w:val="0"/>
        </w:numPr>
        <w:sectPr w:rsidR="00DE260C" w:rsidSect="00E43A7F">
          <w:type w:val="continuous"/>
          <w:pgSz w:w="12240" w:h="15840"/>
          <w:pgMar w:top="1440" w:right="1440" w:bottom="1440" w:left="1440" w:header="288" w:footer="720" w:gutter="0"/>
          <w:pgNumType w:start="1"/>
          <w:cols w:num="2" w:space="720"/>
          <w:docGrid w:linePitch="360"/>
        </w:sectPr>
      </w:pPr>
    </w:p>
    <w:p w14:paraId="711A45F0" w14:textId="77777777" w:rsidR="00D20C42" w:rsidRDefault="00D20C42" w:rsidP="00DE4168">
      <w:pPr>
        <w:pStyle w:val="ListNumber"/>
        <w:numPr>
          <w:ilvl w:val="0"/>
          <w:numId w:val="0"/>
        </w:numPr>
      </w:pPr>
    </w:p>
    <w:p w14:paraId="0AF0A608" w14:textId="52D5DA08" w:rsidR="00D87746" w:rsidRDefault="00D87746" w:rsidP="00DE4168">
      <w:pPr>
        <w:pStyle w:val="ListNumber"/>
        <w:numPr>
          <w:ilvl w:val="0"/>
          <w:numId w:val="0"/>
        </w:numPr>
      </w:pPr>
      <w:r>
        <w:t>Adj</w:t>
      </w:r>
      <w:r w:rsidR="008D1315">
        <w:t>unct Staff:</w:t>
      </w:r>
    </w:p>
    <w:p w14:paraId="1FF988C9" w14:textId="09D2C526" w:rsidR="009E190F" w:rsidRDefault="009E190F" w:rsidP="00DE4168">
      <w:pPr>
        <w:pStyle w:val="ListNumber"/>
        <w:numPr>
          <w:ilvl w:val="0"/>
          <w:numId w:val="0"/>
        </w:numPr>
      </w:pPr>
      <w:r>
        <w:t>Mitch Bau</w:t>
      </w:r>
      <w:r w:rsidR="005E6A75">
        <w:t>mann</w:t>
      </w:r>
      <w:r w:rsidR="000D716A">
        <w:t xml:space="preserve"> </w:t>
      </w:r>
      <w:r w:rsidR="005E6A75">
        <w:t>-</w:t>
      </w:r>
      <w:r w:rsidR="000D716A">
        <w:t xml:space="preserve"> </w:t>
      </w:r>
      <w:r w:rsidR="005E6A75">
        <w:t>Chief Executive Officer</w:t>
      </w:r>
    </w:p>
    <w:p w14:paraId="7B7F7E2C" w14:textId="0E25E0B3" w:rsidR="005E6A75" w:rsidRDefault="005E6A75" w:rsidP="00DE4168">
      <w:pPr>
        <w:pStyle w:val="ListNumber"/>
        <w:numPr>
          <w:ilvl w:val="0"/>
          <w:numId w:val="0"/>
        </w:numPr>
      </w:pPr>
      <w:r>
        <w:t>Shari Noonan</w:t>
      </w:r>
      <w:r w:rsidR="000D716A">
        <w:t xml:space="preserve"> </w:t>
      </w:r>
      <w:r>
        <w:t>- Corporate Compliance Officer</w:t>
      </w:r>
    </w:p>
    <w:p w14:paraId="6DD980D4" w14:textId="1775A584" w:rsidR="004C7075" w:rsidRDefault="004C7075" w:rsidP="00DE4168">
      <w:pPr>
        <w:pStyle w:val="ListNumber"/>
        <w:numPr>
          <w:ilvl w:val="0"/>
          <w:numId w:val="0"/>
        </w:numPr>
      </w:pPr>
      <w:r>
        <w:t xml:space="preserve">Andrew </w:t>
      </w:r>
      <w:r w:rsidR="00B63DCF">
        <w:t>Gautsch</w:t>
      </w:r>
      <w:r w:rsidR="000D716A">
        <w:t xml:space="preserve"> </w:t>
      </w:r>
      <w:r w:rsidR="00B63DCF">
        <w:t>-</w:t>
      </w:r>
      <w:r w:rsidR="000D716A">
        <w:t xml:space="preserve"> </w:t>
      </w:r>
      <w:r w:rsidR="00B63DCF">
        <w:t xml:space="preserve">Director of </w:t>
      </w:r>
      <w:r w:rsidR="004429B0">
        <w:t>Operations</w:t>
      </w:r>
    </w:p>
    <w:p w14:paraId="1E5FF3EC" w14:textId="77777777" w:rsidR="00DE260C" w:rsidRDefault="00DE260C" w:rsidP="00DE4168">
      <w:pPr>
        <w:pStyle w:val="ListNumber"/>
        <w:numPr>
          <w:ilvl w:val="0"/>
          <w:numId w:val="0"/>
        </w:numPr>
        <w:sectPr w:rsidR="00DE260C" w:rsidSect="00DE260C">
          <w:type w:val="continuous"/>
          <w:pgSz w:w="12240" w:h="15840"/>
          <w:pgMar w:top="1440" w:right="1440" w:bottom="1440" w:left="1440" w:header="288" w:footer="720" w:gutter="0"/>
          <w:pgNumType w:start="1"/>
          <w:cols w:space="720"/>
          <w:docGrid w:linePitch="360"/>
        </w:sectPr>
      </w:pPr>
    </w:p>
    <w:p w14:paraId="6E8DAC02" w14:textId="78DF1B90" w:rsidR="00DE260C" w:rsidRDefault="00DE260C" w:rsidP="2C0C4CB2">
      <w:pPr>
        <w:pStyle w:val="ListNumber"/>
        <w:numPr>
          <w:ilvl w:val="0"/>
          <w:numId w:val="0"/>
        </w:numPr>
      </w:pPr>
    </w:p>
    <w:p w14:paraId="1F0FAED8" w14:textId="77777777" w:rsidR="00DE260C" w:rsidRDefault="00DE260C" w:rsidP="00DE4168">
      <w:pPr>
        <w:pStyle w:val="ListNumber"/>
        <w:numPr>
          <w:ilvl w:val="0"/>
          <w:numId w:val="0"/>
        </w:numPr>
      </w:pPr>
    </w:p>
    <w:p w14:paraId="7617E6D9" w14:textId="77777777" w:rsidR="00DE260C" w:rsidRDefault="00DE260C" w:rsidP="00DE4168">
      <w:pPr>
        <w:pStyle w:val="ListNumber"/>
        <w:numPr>
          <w:ilvl w:val="0"/>
          <w:numId w:val="0"/>
        </w:numPr>
      </w:pPr>
    </w:p>
    <w:p w14:paraId="31AB0BAE" w14:textId="77777777" w:rsidR="00DE260C" w:rsidRDefault="00DE260C" w:rsidP="00DE4168">
      <w:pPr>
        <w:pStyle w:val="ListNumber"/>
        <w:numPr>
          <w:ilvl w:val="0"/>
          <w:numId w:val="0"/>
        </w:numPr>
      </w:pPr>
    </w:p>
    <w:p w14:paraId="37254A6D" w14:textId="77777777" w:rsidR="00DE260C" w:rsidRDefault="00DE260C" w:rsidP="00DE4168">
      <w:pPr>
        <w:pStyle w:val="ListNumber"/>
        <w:numPr>
          <w:ilvl w:val="0"/>
          <w:numId w:val="0"/>
        </w:numPr>
      </w:pPr>
    </w:p>
    <w:p w14:paraId="53082DF4" w14:textId="77777777" w:rsidR="00DE260C" w:rsidRDefault="00DE260C" w:rsidP="00DE4168">
      <w:pPr>
        <w:pStyle w:val="ListNumber"/>
        <w:numPr>
          <w:ilvl w:val="0"/>
          <w:numId w:val="0"/>
        </w:numPr>
      </w:pPr>
    </w:p>
    <w:p w14:paraId="22221873" w14:textId="77777777" w:rsidR="00DE260C" w:rsidRDefault="00DE260C" w:rsidP="00DE4168">
      <w:pPr>
        <w:pStyle w:val="ListNumber"/>
        <w:numPr>
          <w:ilvl w:val="0"/>
          <w:numId w:val="0"/>
        </w:numPr>
      </w:pPr>
    </w:p>
    <w:p w14:paraId="48BEE556" w14:textId="77777777" w:rsidR="00DE260C" w:rsidRDefault="00DE260C" w:rsidP="00DE4168">
      <w:pPr>
        <w:pStyle w:val="ListNumber"/>
        <w:numPr>
          <w:ilvl w:val="0"/>
          <w:numId w:val="0"/>
        </w:numPr>
      </w:pPr>
    </w:p>
    <w:p w14:paraId="2B0908B8" w14:textId="77777777" w:rsidR="00DE260C" w:rsidRDefault="00DE260C" w:rsidP="00DE4168">
      <w:pPr>
        <w:pStyle w:val="ListNumber"/>
        <w:numPr>
          <w:ilvl w:val="0"/>
          <w:numId w:val="0"/>
        </w:numPr>
      </w:pPr>
    </w:p>
    <w:p w14:paraId="647EDF06" w14:textId="77777777" w:rsidR="00DE260C" w:rsidRDefault="00DE260C" w:rsidP="00DE4168">
      <w:pPr>
        <w:pStyle w:val="ListNumber"/>
        <w:numPr>
          <w:ilvl w:val="0"/>
          <w:numId w:val="0"/>
        </w:numPr>
      </w:pPr>
    </w:p>
    <w:p w14:paraId="6D566247" w14:textId="77777777" w:rsidR="00DE260C" w:rsidRDefault="00DE260C" w:rsidP="00DE4168">
      <w:pPr>
        <w:pStyle w:val="ListNumber"/>
        <w:numPr>
          <w:ilvl w:val="0"/>
          <w:numId w:val="0"/>
        </w:numPr>
      </w:pPr>
    </w:p>
    <w:p w14:paraId="1122814F" w14:textId="107999F6" w:rsidR="00DE260C" w:rsidRDefault="00DE260C" w:rsidP="2C0C4CB2">
      <w:pPr>
        <w:pStyle w:val="ListNumber"/>
        <w:numPr>
          <w:ilvl w:val="0"/>
          <w:numId w:val="0"/>
        </w:numPr>
      </w:pPr>
    </w:p>
    <w:p w14:paraId="46EFF6F0" w14:textId="77777777" w:rsidR="00DE260C" w:rsidRDefault="00DE260C" w:rsidP="00DE4168">
      <w:pPr>
        <w:pStyle w:val="ListNumber"/>
        <w:numPr>
          <w:ilvl w:val="0"/>
          <w:numId w:val="0"/>
        </w:numPr>
      </w:pPr>
    </w:p>
    <w:p w14:paraId="1FF2AFED" w14:textId="77777777" w:rsidR="00DE260C" w:rsidRDefault="00DE260C" w:rsidP="00DE4168">
      <w:pPr>
        <w:pStyle w:val="ListNumber"/>
        <w:numPr>
          <w:ilvl w:val="0"/>
          <w:numId w:val="0"/>
        </w:numPr>
      </w:pPr>
    </w:p>
    <w:p w14:paraId="7510C0C3" w14:textId="77777777" w:rsidR="00DE260C" w:rsidRDefault="00DE260C" w:rsidP="00DE4168">
      <w:pPr>
        <w:pStyle w:val="ListNumber"/>
        <w:numPr>
          <w:ilvl w:val="0"/>
          <w:numId w:val="0"/>
        </w:numPr>
      </w:pPr>
    </w:p>
    <w:p w14:paraId="5F832A00" w14:textId="2CC851DA" w:rsidR="00DE260C" w:rsidRDefault="00DE260C" w:rsidP="00DE4168">
      <w:pPr>
        <w:pStyle w:val="ListNumber"/>
        <w:numPr>
          <w:ilvl w:val="0"/>
          <w:numId w:val="0"/>
        </w:numPr>
        <w:sectPr w:rsidR="00DE260C" w:rsidSect="00E43A7F">
          <w:type w:val="continuous"/>
          <w:pgSz w:w="12240" w:h="15840"/>
          <w:pgMar w:top="1440" w:right="1440" w:bottom="1440" w:left="1440" w:header="288" w:footer="720" w:gutter="0"/>
          <w:pgNumType w:start="1"/>
          <w:cols w:num="2" w:space="720"/>
          <w:docGrid w:linePitch="360"/>
        </w:sectPr>
      </w:pPr>
    </w:p>
    <w:p w14:paraId="1B64F325" w14:textId="092C60A7" w:rsidR="008D5C31" w:rsidRDefault="008A563C" w:rsidP="006D34B9">
      <w:pPr>
        <w:pStyle w:val="ListNumber"/>
        <w:numPr>
          <w:ilvl w:val="0"/>
          <w:numId w:val="0"/>
        </w:numPr>
        <w:jc w:val="center"/>
        <w:rPr>
          <w:b/>
          <w:bCs/>
        </w:rPr>
      </w:pPr>
      <w:r w:rsidRPr="008A563C">
        <w:rPr>
          <w:b/>
          <w:bCs/>
        </w:rPr>
        <w:t>Admission</w:t>
      </w:r>
    </w:p>
    <w:p w14:paraId="10E98494" w14:textId="6DE30DD5" w:rsidR="003B7A8A" w:rsidRDefault="00123730" w:rsidP="00AC1159">
      <w:pPr>
        <w:ind w:left="360"/>
      </w:pPr>
      <w:r>
        <w:t xml:space="preserve">An Opioid Treatment Program (OTP) provides medication and counseling to an </w:t>
      </w:r>
      <w:r w:rsidR="00BD3A59">
        <w:t>individual with a Substance Use Disorder with any type of opioid. The Medical Director determines if an individual is a candidate for medication assisted treatment</w:t>
      </w:r>
      <w:r w:rsidR="00E43A7F">
        <w:t xml:space="preserve"> (MAT)</w:t>
      </w:r>
      <w:r w:rsidR="00BD3A59">
        <w:t>. All admissions</w:t>
      </w:r>
      <w:r w:rsidR="00E43A7F">
        <w:t xml:space="preserve"> to the OTP</w:t>
      </w:r>
      <w:r w:rsidR="00BD3A59">
        <w:t xml:space="preserve"> are contingent</w:t>
      </w:r>
      <w:r w:rsidR="003B7A8A">
        <w:t xml:space="preserve"> upon Federal and State guidelines, and physician approval.</w:t>
      </w:r>
    </w:p>
    <w:p w14:paraId="03BAEB93" w14:textId="77777777" w:rsidR="00393750" w:rsidRDefault="003B7A8A" w:rsidP="00AC1159">
      <w:pPr>
        <w:ind w:left="360"/>
      </w:pPr>
      <w:r>
        <w:t>To be admitted to an OTP, the following criteria apply</w:t>
      </w:r>
      <w:r w:rsidR="0036240A">
        <w:t>:</w:t>
      </w:r>
    </w:p>
    <w:p w14:paraId="395A7096" w14:textId="6AD00855" w:rsidR="00123730" w:rsidRDefault="00393750">
      <w:pPr>
        <w:pStyle w:val="ListParagraph"/>
        <w:numPr>
          <w:ilvl w:val="0"/>
          <w:numId w:val="20"/>
        </w:numPr>
      </w:pPr>
      <w:r>
        <w:t xml:space="preserve">You must be 18 years or older; clients younger than 18 </w:t>
      </w:r>
      <w:r w:rsidR="0010630D">
        <w:t>require</w:t>
      </w:r>
      <w:r>
        <w:t xml:space="preserve"> special assessment and consent from parents</w:t>
      </w:r>
      <w:r w:rsidR="008A3248">
        <w:t>.</w:t>
      </w:r>
    </w:p>
    <w:p w14:paraId="15B39013" w14:textId="62A3F73F" w:rsidR="008A3248" w:rsidRDefault="008A3248">
      <w:pPr>
        <w:pStyle w:val="ListParagraph"/>
        <w:numPr>
          <w:ilvl w:val="0"/>
          <w:numId w:val="20"/>
        </w:numPr>
      </w:pPr>
      <w:r>
        <w:t>You must meet the substance use disorder criteria for opiates, including</w:t>
      </w:r>
      <w:r w:rsidR="00E43A7F">
        <w:t xml:space="preserve"> (but not limited to)</w:t>
      </w:r>
      <w:r>
        <w:t xml:space="preserve"> obser</w:t>
      </w:r>
      <w:r w:rsidR="0010630D">
        <w:t>vable symptoms of opiate withdrawal and prior treatments attempts.</w:t>
      </w:r>
    </w:p>
    <w:p w14:paraId="6B5FC10E" w14:textId="5A1E7494" w:rsidR="0010630D" w:rsidRDefault="0010630D">
      <w:pPr>
        <w:pStyle w:val="ListParagraph"/>
        <w:numPr>
          <w:ilvl w:val="0"/>
          <w:numId w:val="20"/>
        </w:numPr>
      </w:pPr>
      <w:r>
        <w:t>You must be medically able to tolerate induction and treatment.</w:t>
      </w:r>
    </w:p>
    <w:p w14:paraId="74F8B985" w14:textId="62B80700" w:rsidR="0010630D" w:rsidRDefault="0010630D">
      <w:pPr>
        <w:pStyle w:val="ListParagraph"/>
        <w:numPr>
          <w:ilvl w:val="0"/>
          <w:numId w:val="20"/>
        </w:numPr>
      </w:pPr>
      <w:r>
        <w:t>You must have an authentic photo ID.</w:t>
      </w:r>
    </w:p>
    <w:p w14:paraId="74D522CD" w14:textId="68527BE8" w:rsidR="0010630D" w:rsidRDefault="006066DF">
      <w:pPr>
        <w:pStyle w:val="ListParagraph"/>
        <w:numPr>
          <w:ilvl w:val="0"/>
          <w:numId w:val="20"/>
        </w:numPr>
      </w:pPr>
      <w:r>
        <w:t xml:space="preserve">You must not be </w:t>
      </w:r>
      <w:r w:rsidR="00E43A7F">
        <w:t>receiving MAT services elsewhere</w:t>
      </w:r>
      <w:r>
        <w:t>.</w:t>
      </w:r>
    </w:p>
    <w:p w14:paraId="58153B98" w14:textId="7402C7F3" w:rsidR="006066DF" w:rsidRDefault="006066DF">
      <w:pPr>
        <w:pStyle w:val="ListParagraph"/>
        <w:numPr>
          <w:ilvl w:val="0"/>
          <w:numId w:val="20"/>
        </w:numPr>
      </w:pPr>
      <w:r>
        <w:t xml:space="preserve">You must </w:t>
      </w:r>
      <w:r w:rsidR="00E43A7F">
        <w:t xml:space="preserve">provide proof of insurance or </w:t>
      </w:r>
      <w:r>
        <w:t xml:space="preserve">be able to pay the appropriate </w:t>
      </w:r>
      <w:r w:rsidR="00C649F4">
        <w:t xml:space="preserve">self-pay </w:t>
      </w:r>
      <w:r>
        <w:t>fees.</w:t>
      </w:r>
    </w:p>
    <w:p w14:paraId="7C39AD66" w14:textId="77777777" w:rsidR="00C649F4" w:rsidRPr="00123730" w:rsidRDefault="00C649F4" w:rsidP="00C649F4">
      <w:pPr>
        <w:pStyle w:val="ListNumber"/>
        <w:numPr>
          <w:ilvl w:val="0"/>
          <w:numId w:val="0"/>
        </w:numPr>
        <w:ind w:left="1080"/>
      </w:pPr>
    </w:p>
    <w:p w14:paraId="634A2948" w14:textId="53F26B72" w:rsidR="008D5C31" w:rsidRDefault="00E43A7F" w:rsidP="00AC1159">
      <w:pPr>
        <w:ind w:left="360"/>
      </w:pPr>
      <w:r>
        <w:t>To be admitted into our outpatient program without MAT, the follow criteria apply:</w:t>
      </w:r>
    </w:p>
    <w:p w14:paraId="26E1864A" w14:textId="77777777" w:rsidR="00C649F4" w:rsidRDefault="00E43A7F">
      <w:pPr>
        <w:pStyle w:val="ListParagraph"/>
        <w:numPr>
          <w:ilvl w:val="0"/>
          <w:numId w:val="20"/>
        </w:numPr>
      </w:pPr>
      <w:r>
        <w:t>You must meet the criteria for a substance use disorder.</w:t>
      </w:r>
    </w:p>
    <w:p w14:paraId="1DF922F6" w14:textId="75AA71ED" w:rsidR="00E43A7F" w:rsidRDefault="00C649F4">
      <w:pPr>
        <w:pStyle w:val="ListParagraph"/>
        <w:numPr>
          <w:ilvl w:val="0"/>
          <w:numId w:val="20"/>
        </w:numPr>
      </w:pPr>
      <w:r>
        <w:t>You must provide proof of insurance or be able to pay the appropriate self-pay fees.</w:t>
      </w:r>
    </w:p>
    <w:p w14:paraId="59B63E64" w14:textId="1C42CB81" w:rsidR="00C649F4" w:rsidRPr="00C649F4" w:rsidRDefault="00C649F4" w:rsidP="00C649F4">
      <w:pPr>
        <w:pStyle w:val="ListNumber"/>
        <w:numPr>
          <w:ilvl w:val="0"/>
          <w:numId w:val="0"/>
        </w:numPr>
        <w:ind w:left="360" w:hanging="360"/>
        <w:rPr>
          <w:b/>
          <w:bCs/>
        </w:rPr>
      </w:pPr>
      <w:r>
        <w:rPr>
          <w:b/>
          <w:bCs/>
        </w:rPr>
        <w:t xml:space="preserve">Fusion Recovery will not deny treatment services based on age, race, ethnicity, religion, sex, gender identity, or disability. </w:t>
      </w:r>
    </w:p>
    <w:p w14:paraId="46B8D3EA" w14:textId="30683BC2" w:rsidR="008D5C31" w:rsidRDefault="00C910FD" w:rsidP="00AC1159">
      <w:pPr>
        <w:ind w:left="360"/>
      </w:pPr>
      <w:r>
        <w:t>Participation in treatment is volunt</w:t>
      </w:r>
      <w:r w:rsidR="00694A84">
        <w:t>ary</w:t>
      </w:r>
      <w:r w:rsidR="00C649F4">
        <w:t xml:space="preserve"> which</w:t>
      </w:r>
      <w:r w:rsidR="00694A84">
        <w:t xml:space="preserve"> means that either you or the clinic may terminate services at any time. To continue receiving services, </w:t>
      </w:r>
      <w:r w:rsidR="00C649F4">
        <w:t>we ask that you</w:t>
      </w:r>
      <w:r w:rsidR="00694A84">
        <w:t xml:space="preserve"> adhere to the clinic policies and procedures</w:t>
      </w:r>
      <w:r w:rsidR="003E6E83">
        <w:t xml:space="preserve">. Failure to do so may result in </w:t>
      </w:r>
      <w:r w:rsidR="00C649F4">
        <w:t>referrals to a higher level of care or another program and/or</w:t>
      </w:r>
      <w:r w:rsidR="003E6E83">
        <w:t xml:space="preserve"> </w:t>
      </w:r>
      <w:r w:rsidR="00C649F4">
        <w:t>discharge</w:t>
      </w:r>
      <w:r w:rsidR="00236C28">
        <w:t xml:space="preserve"> from the </w:t>
      </w:r>
      <w:r w:rsidR="00C649F4">
        <w:t>program</w:t>
      </w:r>
      <w:r w:rsidR="00236C28">
        <w:t xml:space="preserve">. However, before that happens, the </w:t>
      </w:r>
      <w:r w:rsidR="00236C28">
        <w:lastRenderedPageBreak/>
        <w:t>Fusion Recovery Team</w:t>
      </w:r>
      <w:r w:rsidR="00780901">
        <w:t xml:space="preserve"> clinical and medical staff with work diligently with you to identify and overcome barriers to your successful participation in treatment.</w:t>
      </w:r>
    </w:p>
    <w:p w14:paraId="2BD61FD4" w14:textId="0BC394CE" w:rsidR="00780901" w:rsidRDefault="00D341C4" w:rsidP="00AC1159">
      <w:pPr>
        <w:ind w:left="360"/>
      </w:pPr>
      <w:r>
        <w:t>The</w:t>
      </w:r>
      <w:r w:rsidR="00C649F4">
        <w:t xml:space="preserve"> intake assessment</w:t>
      </w:r>
      <w:r w:rsidR="00780901">
        <w:t xml:space="preserve"> process consists of a clinical </w:t>
      </w:r>
      <w:r w:rsidR="00EE7E42">
        <w:t>evaluation</w:t>
      </w:r>
      <w:r w:rsidR="00780901">
        <w:t xml:space="preserve">, a medical </w:t>
      </w:r>
      <w:r>
        <w:t>assessment,</w:t>
      </w:r>
      <w:r w:rsidR="00780901">
        <w:t xml:space="preserve"> and a physical exam. As part of the physical </w:t>
      </w:r>
      <w:r>
        <w:t>examination, blood is collected for lab testing</w:t>
      </w:r>
      <w:r w:rsidR="00EE7E42">
        <w:t xml:space="preserve"> that includes a screening for tuberculosis </w:t>
      </w:r>
      <w:r>
        <w:t xml:space="preserve">and the nurse will complete any other </w:t>
      </w:r>
      <w:r w:rsidR="001835A5">
        <w:t>tests that are deemed necessary. A urine</w:t>
      </w:r>
      <w:r w:rsidR="0001013F">
        <w:t xml:space="preserve"> sample is required of all clients at the time of admission to verify </w:t>
      </w:r>
      <w:r w:rsidR="00EE7E42">
        <w:t>substance</w:t>
      </w:r>
      <w:r w:rsidR="0001013F">
        <w:t xml:space="preserve"> use</w:t>
      </w:r>
      <w:r w:rsidR="00EE7E42">
        <w:t xml:space="preserve"> history that is reported; female clients for the OTP are required to complete a pregnancy test</w:t>
      </w:r>
      <w:r w:rsidR="0001013F">
        <w:t xml:space="preserve">. </w:t>
      </w:r>
      <w:r w:rsidR="004A31AB">
        <w:t>All admissions are contingent up</w:t>
      </w:r>
      <w:r w:rsidR="004D65B2">
        <w:t xml:space="preserve">on Federal and State guidelines, and </w:t>
      </w:r>
      <w:r w:rsidR="00EE7E42">
        <w:t xml:space="preserve">the Medical Director’s </w:t>
      </w:r>
      <w:r w:rsidR="004D65B2">
        <w:t>approval</w:t>
      </w:r>
      <w:r w:rsidR="00EE7E42">
        <w:t xml:space="preserve"> is needed for any MAT services</w:t>
      </w:r>
      <w:r w:rsidR="004D65B2">
        <w:t>.</w:t>
      </w:r>
    </w:p>
    <w:p w14:paraId="774DA16B" w14:textId="5D40A80E" w:rsidR="00734876" w:rsidRDefault="00734876" w:rsidP="00D20C42">
      <w:pPr>
        <w:ind w:left="360"/>
      </w:pPr>
      <w:r>
        <w:t xml:space="preserve">On admission, an initial treatment plan is created that contains your goals for treatment and has objectives that will help you meet your recovery goals.  An initial schedule for individual sessions will be created on intake and </w:t>
      </w:r>
      <w:r w:rsidR="00D90CE5">
        <w:t xml:space="preserve">a group schedule may be created on intake or at the first follow up appointment with your primary counselor.  Each client in the program is assigned to one primary counselor (which may be different than the intake counselor) and while any clinical or management staff can assist, the primary counselor will </w:t>
      </w:r>
      <w:r w:rsidR="00D55B55">
        <w:t>handle most of the client’s care needs during the client’s stay in treatment.</w:t>
      </w:r>
      <w:r w:rsidR="00D3729F">
        <w:t xml:space="preserve">  Each client will have their picture taken on admission to create a program ID card and are asked to keep that ID on their person while present at the program so you can be identified quickly. </w:t>
      </w:r>
    </w:p>
    <w:p w14:paraId="36476E68" w14:textId="0BAB6067" w:rsidR="002C7523" w:rsidRDefault="002C7523" w:rsidP="00D20C42">
      <w:pPr>
        <w:ind w:left="360"/>
      </w:pPr>
      <w:r>
        <w:t>Fusion Recovery has instituted policies and pr</w:t>
      </w:r>
      <w:r w:rsidR="0028475F">
        <w:t>ocedures to reasonably prevent clients from being dually enrolled in more than one OTP or pain management program; and from receiving more than one dose of medication per day. Fusion Recovery</w:t>
      </w:r>
      <w:r w:rsidR="00316E7A">
        <w:t xml:space="preserve"> is part of the NYS Central Registry Lighthouse which contains all pertinent demographic information and identifying character</w:t>
      </w:r>
      <w:r w:rsidR="00186BCB">
        <w:t>istics for clients approved to receive MAT in New York State. As part of your intake process</w:t>
      </w:r>
      <w:r w:rsidR="00EE7E42">
        <w:t xml:space="preserve"> in the OTP</w:t>
      </w:r>
      <w:r w:rsidR="00186BCB">
        <w:t>, you must sign consent forms allowing Fusion Recovery</w:t>
      </w:r>
      <w:r w:rsidR="00F27E27">
        <w:t xml:space="preserve"> to enter </w:t>
      </w:r>
      <w:r w:rsidR="008A79E4">
        <w:t>your data in the NYS Central Registry Lighthouse as a way of notifying all NY State Treatment Programs that you are enrolling with Fusion Recovery</w:t>
      </w:r>
      <w:r w:rsidR="00F34F42">
        <w:t>. Periodically Fusion Recovery will use this release of information to contact other treatment programs to verify enr</w:t>
      </w:r>
      <w:r w:rsidR="00572EC0">
        <w:t>ollment.</w:t>
      </w:r>
    </w:p>
    <w:p w14:paraId="643BB606" w14:textId="5FB4FD3D" w:rsidR="00572EC0" w:rsidRDefault="00C45D8E" w:rsidP="00D20C42">
      <w:pPr>
        <w:ind w:left="360"/>
      </w:pPr>
      <w:r>
        <w:t>The cost of services will be explained to you during a financial pre</w:t>
      </w:r>
      <w:r w:rsidR="004F40AC">
        <w:t>screening or intake appointment. Failure to pay clinic fees may result in an administrative deto</w:t>
      </w:r>
      <w:r w:rsidR="00521B93">
        <w:t xml:space="preserve">xification of medication </w:t>
      </w:r>
      <w:r w:rsidR="00EE7E42">
        <w:t xml:space="preserve">(if applicable) </w:t>
      </w:r>
      <w:r w:rsidR="00521B93">
        <w:t xml:space="preserve">and </w:t>
      </w:r>
      <w:r w:rsidR="00EE7E42">
        <w:t>discharge</w:t>
      </w:r>
      <w:r w:rsidR="00521B93">
        <w:t xml:space="preserve"> from the clinic. However,</w:t>
      </w:r>
      <w:r>
        <w:t xml:space="preserve"> </w:t>
      </w:r>
      <w:r w:rsidR="00CA5116">
        <w:t xml:space="preserve">before that happens, the Fusion Recovery </w:t>
      </w:r>
      <w:r w:rsidR="00EE7E42">
        <w:t>clinical team</w:t>
      </w:r>
      <w:r w:rsidR="00CA5116">
        <w:t xml:space="preserve"> will work </w:t>
      </w:r>
      <w:r w:rsidR="000A5520">
        <w:t>diligently with you to identify and overcome financial barriers.</w:t>
      </w:r>
    </w:p>
    <w:p w14:paraId="1095F915" w14:textId="77777777" w:rsidR="000E0BBC" w:rsidRPr="0066573D" w:rsidRDefault="000E0BBC" w:rsidP="00DE4168">
      <w:pPr>
        <w:pStyle w:val="ListNumber"/>
        <w:numPr>
          <w:ilvl w:val="0"/>
          <w:numId w:val="0"/>
        </w:numPr>
        <w:rPr>
          <w:b/>
          <w:bCs/>
        </w:rPr>
      </w:pPr>
    </w:p>
    <w:p w14:paraId="1C936AE1" w14:textId="17F9EAA5" w:rsidR="00A17CA2" w:rsidRDefault="00D20C42" w:rsidP="00DE4168">
      <w:pPr>
        <w:pStyle w:val="ListNumber"/>
        <w:numPr>
          <w:ilvl w:val="0"/>
          <w:numId w:val="0"/>
        </w:numPr>
      </w:pPr>
      <w:r>
        <w:tab/>
      </w:r>
    </w:p>
    <w:p w14:paraId="3C9D0894" w14:textId="77777777" w:rsidR="00A17CA2" w:rsidRDefault="00A17CA2" w:rsidP="00DE4168">
      <w:pPr>
        <w:pStyle w:val="ListNumber"/>
        <w:numPr>
          <w:ilvl w:val="0"/>
          <w:numId w:val="0"/>
        </w:numPr>
      </w:pPr>
    </w:p>
    <w:p w14:paraId="40083610" w14:textId="77777777" w:rsidR="00D55B55" w:rsidRDefault="00D55B55"/>
    <w:p w14:paraId="56B50BA4" w14:textId="77777777" w:rsidR="00E47DD2" w:rsidRDefault="00E47DD2"/>
    <w:p w14:paraId="78DD2E64" w14:textId="77777777" w:rsidR="00E47DD2" w:rsidRDefault="00E47DD2"/>
    <w:p w14:paraId="1F9A8E6A" w14:textId="77777777" w:rsidR="00E47DD2" w:rsidRDefault="00E47DD2"/>
    <w:p w14:paraId="55C01917" w14:textId="77777777" w:rsidR="00FB6470" w:rsidRDefault="00FB6470"/>
    <w:p w14:paraId="77C594AF" w14:textId="1571A2A7" w:rsidR="00D3729F" w:rsidRDefault="00D3729F" w:rsidP="2C0C4CB2"/>
    <w:p w14:paraId="515C2691" w14:textId="13A6C2BF" w:rsidR="005C6D45" w:rsidRDefault="000566B3" w:rsidP="000566B3">
      <w:pPr>
        <w:jc w:val="center"/>
        <w:rPr>
          <w:b/>
          <w:bCs/>
        </w:rPr>
      </w:pPr>
      <w:r>
        <w:rPr>
          <w:b/>
          <w:bCs/>
        </w:rPr>
        <w:t xml:space="preserve">TREATMENT </w:t>
      </w:r>
      <w:r w:rsidR="00734876">
        <w:rPr>
          <w:b/>
          <w:bCs/>
        </w:rPr>
        <w:t>GUIDELINES</w:t>
      </w:r>
    </w:p>
    <w:p w14:paraId="30F31ED4" w14:textId="4B41BD2B" w:rsidR="009251C7" w:rsidRDefault="009251C7">
      <w:pPr>
        <w:pStyle w:val="ListParagraph"/>
        <w:numPr>
          <w:ilvl w:val="0"/>
          <w:numId w:val="13"/>
        </w:numPr>
        <w:rPr>
          <w:b/>
          <w:bCs/>
        </w:rPr>
      </w:pPr>
      <w:r>
        <w:rPr>
          <w:b/>
          <w:bCs/>
        </w:rPr>
        <w:t>Clinical</w:t>
      </w:r>
      <w:r w:rsidR="00CD5191">
        <w:rPr>
          <w:b/>
          <w:bCs/>
        </w:rPr>
        <w:t xml:space="preserve"> Services</w:t>
      </w:r>
    </w:p>
    <w:p w14:paraId="5C9912AF" w14:textId="496CC2CF" w:rsidR="005C6D45" w:rsidRDefault="002747E8" w:rsidP="002747E8">
      <w:pPr>
        <w:ind w:left="360"/>
        <w:rPr>
          <w:b/>
          <w:bCs/>
        </w:rPr>
      </w:pPr>
      <w:r>
        <w:rPr>
          <w:b/>
          <w:bCs/>
        </w:rPr>
        <w:t>Individual</w:t>
      </w:r>
      <w:r w:rsidR="009251C7">
        <w:rPr>
          <w:b/>
          <w:bCs/>
        </w:rPr>
        <w:t xml:space="preserve"> Sessions</w:t>
      </w:r>
      <w:r w:rsidR="00CD5191">
        <w:rPr>
          <w:b/>
          <w:bCs/>
        </w:rPr>
        <w:t xml:space="preserve"> &amp; Group Sessions </w:t>
      </w:r>
    </w:p>
    <w:p w14:paraId="6FD860D7" w14:textId="117C36B1" w:rsidR="00601F29" w:rsidRDefault="00601F29" w:rsidP="002747E8">
      <w:pPr>
        <w:ind w:left="360"/>
      </w:pPr>
      <w:r>
        <w:t>You are e</w:t>
      </w:r>
      <w:r w:rsidR="00734876">
        <w:t>ncouraged</w:t>
      </w:r>
      <w:r w:rsidR="00B81C25">
        <w:t xml:space="preserve"> to meet individually with your primary counselor at least once a week for the first 90 days or treatment (</w:t>
      </w:r>
      <w:r w:rsidR="00734876">
        <w:t>frequency is based on the intake clinical evaluation</w:t>
      </w:r>
      <w:r w:rsidR="00B81C25">
        <w:t xml:space="preserve">). </w:t>
      </w:r>
      <w:r w:rsidR="00734876">
        <w:t>During your stay in treatment, the frequency of sessions will change based on the progress shown in the sessions, groups, toxicology screens, and be evaluated on an individual basis</w:t>
      </w:r>
      <w:r w:rsidR="000A1291">
        <w:t>. During</w:t>
      </w:r>
      <w:r w:rsidR="00734876">
        <w:t xml:space="preserve"> </w:t>
      </w:r>
      <w:r w:rsidR="000A1291">
        <w:t xml:space="preserve">individual sessions, short and long-term </w:t>
      </w:r>
      <w:r w:rsidR="00734876">
        <w:t xml:space="preserve">treatment </w:t>
      </w:r>
      <w:r w:rsidR="000A1291">
        <w:t>goals</w:t>
      </w:r>
      <w:r w:rsidR="00AA6E4A">
        <w:t>,</w:t>
      </w:r>
      <w:r w:rsidR="000A1291">
        <w:t xml:space="preserve"> </w:t>
      </w:r>
      <w:r w:rsidR="00734876">
        <w:t>and</w:t>
      </w:r>
      <w:r w:rsidR="000A1291">
        <w:t xml:space="preserve"> objectives designed to help you meet those goals should be revi</w:t>
      </w:r>
      <w:r w:rsidR="00AA6E4A">
        <w:t>ewed</w:t>
      </w:r>
      <w:r w:rsidR="00D55B55">
        <w:t xml:space="preserve"> as well as used to update the initial treatment plan created on intake</w:t>
      </w:r>
      <w:r w:rsidR="00AA6E4A">
        <w:t xml:space="preserve">. Progress in treatment should also be addressed, including </w:t>
      </w:r>
      <w:r w:rsidR="00734876">
        <w:t>triggers, relapse prevention skills, and personal strengths that</w:t>
      </w:r>
      <w:r w:rsidR="00AA6E4A">
        <w:t xml:space="preserve"> positively impact your recovery/treatment programming.</w:t>
      </w:r>
      <w:r w:rsidR="00D55B55">
        <w:t xml:space="preserve">  The contents of individual sessions are documented to verify your progress and validate you are meeting criteria for continued stay in the clinic as is required by OASAS. </w:t>
      </w:r>
    </w:p>
    <w:p w14:paraId="48CE6465" w14:textId="61623A0D" w:rsidR="005C4F51" w:rsidRDefault="00D55B55" w:rsidP="002747E8">
      <w:pPr>
        <w:ind w:left="360"/>
      </w:pPr>
      <w:r>
        <w:t>Group sessions are offered as part of Fusion Recovery’s programming and encompass a variety of topics to help clients at various stages of recovery.  A schedule will be created with you on intake or with your primary counselor based on your needs,</w:t>
      </w:r>
      <w:r w:rsidR="00426999">
        <w:t xml:space="preserve"> recovery goals, and</w:t>
      </w:r>
      <w:r>
        <w:t xml:space="preserve"> time availability</w:t>
      </w:r>
      <w:r w:rsidR="00426999">
        <w:t>.</w:t>
      </w:r>
      <w:r w:rsidR="00CE0E6A">
        <w:t xml:space="preserve"> Groups are assigned</w:t>
      </w:r>
      <w:r w:rsidR="00426999">
        <w:t xml:space="preserve"> to discourage </w:t>
      </w:r>
      <w:r w:rsidR="00CE0E6A">
        <w:t xml:space="preserve">group hopping </w:t>
      </w:r>
      <w:r w:rsidR="00426999">
        <w:t xml:space="preserve">and to keep the environment safely therapeutic for all, but </w:t>
      </w:r>
      <w:r w:rsidR="00CE0E6A">
        <w:t>group substitutions</w:t>
      </w:r>
      <w:r w:rsidR="00426999">
        <w:t xml:space="preserve"> can be made under certain circumstances with the discretion of your primary counselor</w:t>
      </w:r>
      <w:r w:rsidR="00CE0E6A">
        <w:t xml:space="preserve">. Attendance </w:t>
      </w:r>
      <w:r w:rsidR="00CE58A9">
        <w:t>is required at assigned group sessions. Clients are expected to participate and contribute to the group process. Any excuse</w:t>
      </w:r>
      <w:r w:rsidR="00426999">
        <w:t>d</w:t>
      </w:r>
      <w:r w:rsidR="00CE58A9">
        <w:t xml:space="preserve"> absence must to approved by the primary counselor and/ or group facilitator. Group assignment is a clinical decision and may increase or decrease over time. </w:t>
      </w:r>
      <w:r w:rsidR="00CE0E6A">
        <w:t xml:space="preserve"> </w:t>
      </w:r>
    </w:p>
    <w:p w14:paraId="7965CAF4" w14:textId="77F5B057" w:rsidR="00426999" w:rsidRDefault="00426999" w:rsidP="002747E8">
      <w:pPr>
        <w:ind w:left="360"/>
      </w:pPr>
      <w:r>
        <w:t xml:space="preserve">An Intensive Outpatient Program (IOP) is also provided by Fusion Recovery.  It is a specific 6 week program that requires 9 hours per week of treatment programming.  IOP combines a mixture of group counseling, peer services, and individual sessions tailored to the clients engaged in it to aid them through the struggles of early recovery or release into a more stable long-term sobriety. </w:t>
      </w:r>
    </w:p>
    <w:p w14:paraId="73F9EC6B" w14:textId="27609AA4" w:rsidR="003740B0" w:rsidRDefault="003740B0" w:rsidP="002747E8">
      <w:pPr>
        <w:ind w:left="360"/>
        <w:rPr>
          <w:b/>
          <w:bCs/>
        </w:rPr>
      </w:pPr>
      <w:r>
        <w:rPr>
          <w:b/>
          <w:bCs/>
        </w:rPr>
        <w:lastRenderedPageBreak/>
        <w:t xml:space="preserve">Mental Health </w:t>
      </w:r>
      <w:r w:rsidR="00D20C42">
        <w:rPr>
          <w:b/>
          <w:bCs/>
        </w:rPr>
        <w:t>Services</w:t>
      </w:r>
    </w:p>
    <w:p w14:paraId="4A4B8EBE" w14:textId="290F0726" w:rsidR="00221F12" w:rsidRDefault="00C57C7A" w:rsidP="002747E8">
      <w:pPr>
        <w:ind w:left="360"/>
      </w:pPr>
      <w:r>
        <w:t>Fusion Recovery recognizes the importance of in</w:t>
      </w:r>
      <w:r w:rsidR="00800EB4">
        <w:t>t</w:t>
      </w:r>
      <w:r w:rsidR="00A854A3">
        <w:t>egrating mental health services into patient care</w:t>
      </w:r>
      <w:r w:rsidR="00CD5191">
        <w:t xml:space="preserve"> and provides mental health counseling if this is an identified need during your treatment. </w:t>
      </w:r>
      <w:r w:rsidR="00A854A3">
        <w:t xml:space="preserve"> </w:t>
      </w:r>
      <w:r w:rsidR="00CD5191">
        <w:t xml:space="preserve">Clients will work with their primary </w:t>
      </w:r>
      <w:r w:rsidR="00A854A3">
        <w:t xml:space="preserve">counselor </w:t>
      </w:r>
      <w:r w:rsidR="00CD5191">
        <w:t>to</w:t>
      </w:r>
      <w:r w:rsidR="00A854A3">
        <w:t xml:space="preserve"> develop a comprehensive, sustainable program that focuses on continued recovery from substance dependence </w:t>
      </w:r>
      <w:r w:rsidR="00152FDB">
        <w:t>while linking you internally or externally to the mental health support you may need.</w:t>
      </w:r>
      <w:r w:rsidR="006F69FA">
        <w:t xml:space="preserve"> Fusion Recovery recognizes that providing patient-centered </w:t>
      </w:r>
      <w:r w:rsidR="00221F12">
        <w:t xml:space="preserve">integrated care helps </w:t>
      </w:r>
      <w:r w:rsidR="00CD5191">
        <w:t>clients work</w:t>
      </w:r>
      <w:r w:rsidR="00FB6470">
        <w:t xml:space="preserve"> </w:t>
      </w:r>
      <w:r w:rsidR="00CD5191">
        <w:t xml:space="preserve">through barriers that made recovery difficult </w:t>
      </w:r>
      <w:r w:rsidR="00221F12">
        <w:t xml:space="preserve">and improves </w:t>
      </w:r>
      <w:r w:rsidR="00CD5191">
        <w:t xml:space="preserve">their </w:t>
      </w:r>
      <w:r w:rsidR="00221F12">
        <w:t>outcomes</w:t>
      </w:r>
      <w:r w:rsidR="00CD5191">
        <w:t xml:space="preserve"> to have a better quality of life</w:t>
      </w:r>
      <w:r w:rsidR="00221F12">
        <w:t xml:space="preserve">. </w:t>
      </w:r>
    </w:p>
    <w:p w14:paraId="6757AC19" w14:textId="7D3135DA" w:rsidR="00D20C42" w:rsidRDefault="00D20C42" w:rsidP="00D20C42">
      <w:pPr>
        <w:ind w:left="360"/>
      </w:pPr>
      <w:r>
        <w:t xml:space="preserve">Counseling for mental health can be included in your individualized treatment plan and you would be assigned to someone appropriately trained/licensed to provide that service.  These services would occur as part of your ongoing individual counseling sessions that occur at the program.  </w:t>
      </w:r>
    </w:p>
    <w:p w14:paraId="6CFB553F" w14:textId="5A44EAB3" w:rsidR="00D20C42" w:rsidRDefault="00D20C42" w:rsidP="00D20C42">
      <w:pPr>
        <w:ind w:left="360"/>
      </w:pPr>
      <w:r>
        <w:t xml:space="preserve">Medications for mental health treatment can be provided to you by the program’s psychiatric nurse practitioner.  You would need to complete a separate intake appointment with them in order to be assessed for appropriateness to be seen at this level of care based on your needs and be required to attend all follow up appointments scheduled in order for your medications to continue to be adjusted/refilled during your stay in our program.  Consistent no shows of your appointments can lead to discharge from mental health medication services here and referred to an outside provider.  Discharge from this service at the program does not impact your overall standing in the greater substance use program provided you are still overall following program policies. </w:t>
      </w:r>
    </w:p>
    <w:p w14:paraId="68779688" w14:textId="77777777" w:rsidR="00CD5191" w:rsidRDefault="00CD5191" w:rsidP="002747E8">
      <w:pPr>
        <w:ind w:left="360"/>
      </w:pPr>
    </w:p>
    <w:p w14:paraId="0F9DD52A" w14:textId="5855B413" w:rsidR="00CD5191" w:rsidRDefault="00CD5191">
      <w:pPr>
        <w:pStyle w:val="ListParagraph"/>
        <w:numPr>
          <w:ilvl w:val="0"/>
          <w:numId w:val="13"/>
        </w:numPr>
        <w:rPr>
          <w:b/>
          <w:bCs/>
        </w:rPr>
      </w:pPr>
      <w:r>
        <w:rPr>
          <w:b/>
          <w:bCs/>
        </w:rPr>
        <w:t xml:space="preserve">Medical Services </w:t>
      </w:r>
    </w:p>
    <w:p w14:paraId="7EBEB8F1" w14:textId="0FFD1279" w:rsidR="00CD5191" w:rsidRDefault="00CD5191" w:rsidP="00FB6470">
      <w:pPr>
        <w:ind w:left="360"/>
      </w:pPr>
      <w:r>
        <w:t xml:space="preserve">If you have a primary care physician and other specialists treating you, you will be asked to sign a consent for Fusion Recovery to exchange information with that provider, including but not limited to presence in treatment, dosing history, toxicology history, medication concerns and all medical emergencies. You will be directed to your primary care physician or urgent care facility for primary care/ medical treatment as needed. Routine medical care is recommended as part of substance use treatment; clients in the OTP </w:t>
      </w:r>
      <w:r w:rsidR="00406713">
        <w:t>must participate in annual physical exams and required medical testing to ensure that they are safe on the provided medications</w:t>
      </w:r>
      <w:r>
        <w:t>. If you do not have a primary care provider, your primary counselor can assist you with the appropriate referrals.</w:t>
      </w:r>
    </w:p>
    <w:p w14:paraId="75C9EA49" w14:textId="77777777" w:rsidR="00CD5191" w:rsidRDefault="00CD5191" w:rsidP="00FB6470">
      <w:pPr>
        <w:ind w:left="360"/>
      </w:pPr>
      <w:r>
        <w:t>The Fusion Recovery Medical Staff is responsible for:</w:t>
      </w:r>
    </w:p>
    <w:p w14:paraId="5E2DF2B8" w14:textId="77777777" w:rsidR="00CD5191" w:rsidRDefault="00CD5191">
      <w:pPr>
        <w:pStyle w:val="ListParagraph"/>
        <w:numPr>
          <w:ilvl w:val="0"/>
          <w:numId w:val="20"/>
        </w:numPr>
      </w:pPr>
      <w:r>
        <w:t>Initial and annual physical exams and medical assessments</w:t>
      </w:r>
    </w:p>
    <w:p w14:paraId="23C574F5" w14:textId="77777777" w:rsidR="00CD5191" w:rsidRDefault="00CD5191">
      <w:pPr>
        <w:pStyle w:val="ListParagraph"/>
        <w:numPr>
          <w:ilvl w:val="0"/>
          <w:numId w:val="20"/>
        </w:numPr>
      </w:pPr>
      <w:r>
        <w:t>Collection of biological specimens for toxicological analysis</w:t>
      </w:r>
    </w:p>
    <w:p w14:paraId="692494FF" w14:textId="42B9EF7F" w:rsidR="00CD5191" w:rsidRDefault="00CD5191">
      <w:pPr>
        <w:pStyle w:val="ListParagraph"/>
        <w:numPr>
          <w:ilvl w:val="0"/>
          <w:numId w:val="20"/>
        </w:numPr>
      </w:pPr>
      <w:r>
        <w:lastRenderedPageBreak/>
        <w:t>Tuberculosis/other communicable disease screening and referral</w:t>
      </w:r>
    </w:p>
    <w:p w14:paraId="3B74EB1B" w14:textId="77777777" w:rsidR="00CD5191" w:rsidRDefault="00CD5191">
      <w:pPr>
        <w:pStyle w:val="ListParagraph"/>
        <w:numPr>
          <w:ilvl w:val="0"/>
          <w:numId w:val="20"/>
        </w:numPr>
      </w:pPr>
      <w:r>
        <w:t>Medical education and management</w:t>
      </w:r>
    </w:p>
    <w:p w14:paraId="0F6C36F0" w14:textId="77777777" w:rsidR="00CD5191" w:rsidRDefault="00CD5191">
      <w:pPr>
        <w:pStyle w:val="ListParagraph"/>
        <w:numPr>
          <w:ilvl w:val="0"/>
          <w:numId w:val="20"/>
        </w:numPr>
      </w:pPr>
      <w:r>
        <w:t>MAT related nursing care by Nurse Practitioner, Registered Nurses, and Licensed Practical Nurses</w:t>
      </w:r>
    </w:p>
    <w:p w14:paraId="45845DA5" w14:textId="77777777" w:rsidR="00CD5191" w:rsidRDefault="00CD5191">
      <w:pPr>
        <w:pStyle w:val="ListParagraph"/>
        <w:numPr>
          <w:ilvl w:val="0"/>
          <w:numId w:val="20"/>
        </w:numPr>
      </w:pPr>
      <w:r>
        <w:t>Pregnancy test and referrals</w:t>
      </w:r>
    </w:p>
    <w:p w14:paraId="02094F39" w14:textId="77777777" w:rsidR="00CD5191" w:rsidRDefault="00CD5191">
      <w:pPr>
        <w:pStyle w:val="ListParagraph"/>
        <w:numPr>
          <w:ilvl w:val="0"/>
          <w:numId w:val="20"/>
        </w:numPr>
      </w:pPr>
      <w:r>
        <w:t>Prevention, early detection, and referral for Substance Abuse related acute and chronic illnesses.</w:t>
      </w:r>
    </w:p>
    <w:p w14:paraId="3A30EDBD" w14:textId="77777777" w:rsidR="00CD5191" w:rsidRDefault="00CD5191">
      <w:pPr>
        <w:pStyle w:val="ListParagraph"/>
        <w:numPr>
          <w:ilvl w:val="0"/>
          <w:numId w:val="20"/>
        </w:numPr>
      </w:pPr>
      <w:r>
        <w:t>Evaluation of symptoms of illness for infection control in the clinic</w:t>
      </w:r>
    </w:p>
    <w:p w14:paraId="11356945" w14:textId="77777777" w:rsidR="00210C5F" w:rsidRDefault="00210C5F" w:rsidP="00210C5F">
      <w:pPr>
        <w:pStyle w:val="ListNumber"/>
        <w:numPr>
          <w:ilvl w:val="0"/>
          <w:numId w:val="0"/>
        </w:numPr>
        <w:ind w:left="60"/>
        <w:rPr>
          <w:b/>
          <w:bCs/>
        </w:rPr>
      </w:pPr>
      <w:r w:rsidRPr="0054740A">
        <w:rPr>
          <w:b/>
          <w:bCs/>
        </w:rPr>
        <w:t xml:space="preserve">Infection Control  </w:t>
      </w:r>
    </w:p>
    <w:p w14:paraId="49143742" w14:textId="5E1AE68A" w:rsidR="00210C5F" w:rsidRDefault="00210C5F" w:rsidP="00FB6470">
      <w:pPr>
        <w:ind w:left="360"/>
      </w:pPr>
      <w:r>
        <w:t>Clients that have an infectious illness (i.e. productive cough, fever of 101 or above, a wound, “pink eye”, skin, discharge, etc.) should ask be evaluated by a nurse. All clients are directed to wash their hands after using the bathroom facilities (Hepatitis A prevention) and to practice Standard Precautions which are the minimum infection prevention practices that apply to all patient care, regardless of suspected or confirmed infection status of the patient, in any setting where health care is delivered. Standard Precautions for clients include-</w:t>
      </w:r>
    </w:p>
    <w:p w14:paraId="2798CBD9" w14:textId="77777777" w:rsidR="00210C5F" w:rsidRDefault="00210C5F">
      <w:pPr>
        <w:pStyle w:val="ListParagraph"/>
        <w:numPr>
          <w:ilvl w:val="0"/>
          <w:numId w:val="20"/>
        </w:numPr>
      </w:pPr>
      <w:r>
        <w:t>Hand hygiene</w:t>
      </w:r>
    </w:p>
    <w:p w14:paraId="2BD11AC0" w14:textId="77777777" w:rsidR="00210C5F" w:rsidRDefault="00210C5F">
      <w:pPr>
        <w:pStyle w:val="ListParagraph"/>
        <w:numPr>
          <w:ilvl w:val="0"/>
          <w:numId w:val="20"/>
        </w:numPr>
      </w:pPr>
      <w:r>
        <w:t>Use of personal protective equipment (i.e., gloves, masks, eyewear can be provided to help you protect others from encountering your blood or bodily fluids.</w:t>
      </w:r>
    </w:p>
    <w:p w14:paraId="0FFC0634" w14:textId="77777777" w:rsidR="00210C5F" w:rsidRDefault="00210C5F">
      <w:pPr>
        <w:pStyle w:val="ListParagraph"/>
        <w:numPr>
          <w:ilvl w:val="0"/>
          <w:numId w:val="20"/>
        </w:numPr>
      </w:pPr>
      <w:r>
        <w:t>Respiratory hygiene/cough etiquette.</w:t>
      </w:r>
    </w:p>
    <w:p w14:paraId="5286B32F" w14:textId="77777777" w:rsidR="00210C5F" w:rsidRDefault="00210C5F">
      <w:pPr>
        <w:pStyle w:val="ListParagraph"/>
        <w:numPr>
          <w:ilvl w:val="0"/>
          <w:numId w:val="20"/>
        </w:numPr>
      </w:pPr>
      <w:r>
        <w:t>Sharps safety (Clients are to be mindful of items that carry red” biohazard” labels. These labels are placed on canisters and devices that have potentially infectious materials. Clients should never attempt to open such devices or place any objects within those devices)</w:t>
      </w:r>
    </w:p>
    <w:p w14:paraId="2881E2B8" w14:textId="77777777" w:rsidR="00CF6016" w:rsidRDefault="00CF6016" w:rsidP="00AC1159">
      <w:pPr>
        <w:ind w:left="360"/>
      </w:pPr>
      <w:r w:rsidRPr="00AC1159">
        <w:t xml:space="preserve">All Fusion Recovery Medical Staff are trained to respond to substance abuse related medical emergencies and overdoses. </w:t>
      </w:r>
      <w:r>
        <w:t>All Fusion Recovery Staff, including security personnel, are Narcan trained and able to administer NARCAN immediately in an emergency.</w:t>
      </w:r>
    </w:p>
    <w:p w14:paraId="19E363FE" w14:textId="77777777" w:rsidR="00CF6016" w:rsidRDefault="00CF6016" w:rsidP="00AC1159">
      <w:pPr>
        <w:ind w:left="360"/>
      </w:pPr>
      <w:r w:rsidRPr="00AC1159">
        <w:t>You need to know what to do if you find yourself in a substance abuse medical emergency or overdose.</w:t>
      </w:r>
      <w:r>
        <w:t xml:space="preserve"> There are many “street myths” about how to deal with an opioid overdose, including an overdose with Methadone. All the alleged “remedies” take precious time away from getting real help, and they can be harmful rather than helpful.</w:t>
      </w:r>
    </w:p>
    <w:p w14:paraId="437FD520" w14:textId="77777777" w:rsidR="00CF6016" w:rsidRDefault="00CF6016" w:rsidP="00CF6016">
      <w:pPr>
        <w:pStyle w:val="ListNumber"/>
        <w:numPr>
          <w:ilvl w:val="0"/>
          <w:numId w:val="0"/>
        </w:numPr>
        <w:ind w:left="60"/>
      </w:pPr>
      <w:r w:rsidRPr="00E47DD2">
        <w:t>Look For</w:t>
      </w:r>
      <w:r>
        <w:rPr>
          <w:b/>
          <w:bCs/>
        </w:rPr>
        <w:t>:</w:t>
      </w:r>
    </w:p>
    <w:p w14:paraId="1A1FFBE7" w14:textId="77777777" w:rsidR="00CF6016" w:rsidRDefault="00CF6016">
      <w:pPr>
        <w:pStyle w:val="ListParagraph"/>
        <w:numPr>
          <w:ilvl w:val="0"/>
          <w:numId w:val="20"/>
        </w:numPr>
      </w:pPr>
      <w:r>
        <w:t>Unusual sleepiness, grogginess, drowsiness (over sedation, somnolence)</w:t>
      </w:r>
    </w:p>
    <w:p w14:paraId="580F8723" w14:textId="77777777" w:rsidR="00CF6016" w:rsidRDefault="00CF6016">
      <w:pPr>
        <w:pStyle w:val="ListParagraph"/>
        <w:numPr>
          <w:ilvl w:val="0"/>
          <w:numId w:val="20"/>
        </w:numPr>
      </w:pPr>
      <w:r>
        <w:t>Unusual feelings of excess energy with or without euphoria</w:t>
      </w:r>
    </w:p>
    <w:p w14:paraId="66C028B9" w14:textId="77777777" w:rsidR="00CF6016" w:rsidRDefault="00CF6016">
      <w:pPr>
        <w:pStyle w:val="ListParagraph"/>
        <w:numPr>
          <w:ilvl w:val="0"/>
          <w:numId w:val="20"/>
        </w:numPr>
      </w:pPr>
      <w:r>
        <w:t>Mental confusion, slurred speech, or intoxicated behavior</w:t>
      </w:r>
    </w:p>
    <w:p w14:paraId="74E72755" w14:textId="77777777" w:rsidR="00CF6016" w:rsidRDefault="00CF6016">
      <w:pPr>
        <w:pStyle w:val="ListParagraph"/>
        <w:numPr>
          <w:ilvl w:val="0"/>
          <w:numId w:val="20"/>
        </w:numPr>
      </w:pPr>
      <w:r>
        <w:t>Slow or shallow breathing</w:t>
      </w:r>
    </w:p>
    <w:p w14:paraId="62DCD7D2" w14:textId="77777777" w:rsidR="00CF6016" w:rsidRDefault="00CF6016">
      <w:pPr>
        <w:pStyle w:val="ListParagraph"/>
        <w:numPr>
          <w:ilvl w:val="0"/>
          <w:numId w:val="20"/>
        </w:numPr>
      </w:pPr>
      <w:r>
        <w:t>Pinpoint pupils</w:t>
      </w:r>
    </w:p>
    <w:p w14:paraId="4D507B84" w14:textId="77777777" w:rsidR="00CF6016" w:rsidRDefault="00CF6016">
      <w:pPr>
        <w:pStyle w:val="ListParagraph"/>
        <w:numPr>
          <w:ilvl w:val="0"/>
          <w:numId w:val="20"/>
        </w:numPr>
      </w:pPr>
      <w:r>
        <w:lastRenderedPageBreak/>
        <w:t>Slow heartbeat, or lowered blood pressure</w:t>
      </w:r>
    </w:p>
    <w:p w14:paraId="239F43D5" w14:textId="77777777" w:rsidR="00CF6016" w:rsidRDefault="00CF6016">
      <w:pPr>
        <w:pStyle w:val="ListParagraph"/>
        <w:numPr>
          <w:ilvl w:val="0"/>
          <w:numId w:val="20"/>
        </w:numPr>
      </w:pPr>
      <w:r>
        <w:t>Unusual snoring while asleep</w:t>
      </w:r>
    </w:p>
    <w:p w14:paraId="2FFA03CB" w14:textId="77777777" w:rsidR="00CF6016" w:rsidRDefault="00CF6016">
      <w:pPr>
        <w:pStyle w:val="ListParagraph"/>
        <w:numPr>
          <w:ilvl w:val="0"/>
          <w:numId w:val="20"/>
        </w:numPr>
      </w:pPr>
      <w:r>
        <w:t>Difficulty arouses the person from sleep.</w:t>
      </w:r>
    </w:p>
    <w:p w14:paraId="25704C2E" w14:textId="77777777" w:rsidR="00CF6016" w:rsidRDefault="00CF6016">
      <w:pPr>
        <w:pStyle w:val="ListParagraph"/>
        <w:numPr>
          <w:ilvl w:val="0"/>
          <w:numId w:val="20"/>
        </w:numPr>
      </w:pPr>
      <w:r>
        <w:t>Fingernails or lips turning blue/purple.</w:t>
      </w:r>
    </w:p>
    <w:p w14:paraId="6027347C" w14:textId="77777777" w:rsidR="00CF6016" w:rsidRDefault="00CF6016">
      <w:pPr>
        <w:pStyle w:val="ListParagraph"/>
        <w:numPr>
          <w:ilvl w:val="0"/>
          <w:numId w:val="20"/>
        </w:numPr>
      </w:pPr>
      <w:r>
        <w:t>Body is limp</w:t>
      </w:r>
    </w:p>
    <w:p w14:paraId="5B156697" w14:textId="5D4CBF9D" w:rsidR="00CF6016" w:rsidRDefault="00CF6016">
      <w:pPr>
        <w:pStyle w:val="ListParagraph"/>
        <w:numPr>
          <w:ilvl w:val="0"/>
          <w:numId w:val="20"/>
        </w:numPr>
      </w:pPr>
      <w:r>
        <w:t xml:space="preserve">Vomiting or gurgling </w:t>
      </w:r>
      <w:r w:rsidR="00E47DD2">
        <w:t>noises</w:t>
      </w:r>
    </w:p>
    <w:p w14:paraId="5F0D9E1F" w14:textId="77777777" w:rsidR="00CF6016" w:rsidRDefault="00CF6016">
      <w:pPr>
        <w:pStyle w:val="ListParagraph"/>
        <w:numPr>
          <w:ilvl w:val="0"/>
          <w:numId w:val="20"/>
        </w:numPr>
      </w:pPr>
      <w:r>
        <w:t>Cannot be aroused or unable to talk</w:t>
      </w:r>
    </w:p>
    <w:p w14:paraId="2878015A" w14:textId="77777777" w:rsidR="00CF6016" w:rsidRPr="00C24339" w:rsidRDefault="00CF6016" w:rsidP="00CF6016">
      <w:pPr>
        <w:pStyle w:val="ListNumber"/>
        <w:numPr>
          <w:ilvl w:val="0"/>
          <w:numId w:val="0"/>
        </w:numPr>
        <w:ind w:left="60"/>
        <w:rPr>
          <w:b/>
          <w:bCs/>
        </w:rPr>
      </w:pPr>
      <w:r w:rsidRPr="00C24339">
        <w:rPr>
          <w:b/>
          <w:bCs/>
        </w:rPr>
        <w:t>Take Immediate Action:</w:t>
      </w:r>
    </w:p>
    <w:p w14:paraId="1ED8975D" w14:textId="77777777" w:rsidR="00CF6016" w:rsidRDefault="00CF6016">
      <w:pPr>
        <w:pStyle w:val="ListParagraph"/>
        <w:numPr>
          <w:ilvl w:val="0"/>
          <w:numId w:val="20"/>
        </w:numPr>
      </w:pPr>
      <w:r>
        <w:t>Determine if the victim is responsive: shout their name, pinch their ear, and rub your knuckles on their breastbone to arouse them</w:t>
      </w:r>
    </w:p>
    <w:p w14:paraId="76339111" w14:textId="77777777" w:rsidR="00CF6016" w:rsidRDefault="00CF6016">
      <w:pPr>
        <w:pStyle w:val="ListParagraph"/>
        <w:numPr>
          <w:ilvl w:val="0"/>
          <w:numId w:val="20"/>
        </w:numPr>
      </w:pPr>
      <w:r>
        <w:t>If the victim cannot be aroused, call 911 immediately</w:t>
      </w:r>
    </w:p>
    <w:p w14:paraId="3351218D" w14:textId="77777777" w:rsidR="00CF6016" w:rsidRDefault="00CF6016">
      <w:pPr>
        <w:pStyle w:val="ListParagraph"/>
        <w:numPr>
          <w:ilvl w:val="0"/>
          <w:numId w:val="20"/>
        </w:numPr>
      </w:pPr>
      <w:r>
        <w:t>If you are a trained NARCAN participant, administer NARCAN immediately once overdose is identified (you cannot hurt someone by treating them with NARCAN)</w:t>
      </w:r>
    </w:p>
    <w:p w14:paraId="4A80F91C" w14:textId="77777777" w:rsidR="00CF6016" w:rsidRDefault="00CF6016" w:rsidP="00CF6016">
      <w:pPr>
        <w:pStyle w:val="ListNumber"/>
        <w:numPr>
          <w:ilvl w:val="0"/>
          <w:numId w:val="0"/>
        </w:numPr>
        <w:ind w:left="60"/>
        <w:rPr>
          <w:b/>
          <w:bCs/>
        </w:rPr>
      </w:pPr>
      <w:r w:rsidRPr="00C24339">
        <w:rPr>
          <w:b/>
          <w:bCs/>
        </w:rPr>
        <w:t>Do Not:</w:t>
      </w:r>
    </w:p>
    <w:p w14:paraId="15343CAE" w14:textId="77777777" w:rsidR="00CF6016" w:rsidRPr="00E47DD2" w:rsidRDefault="00CF6016">
      <w:pPr>
        <w:pStyle w:val="ListParagraph"/>
        <w:numPr>
          <w:ilvl w:val="0"/>
          <w:numId w:val="20"/>
        </w:numPr>
      </w:pPr>
      <w:r w:rsidRPr="00E47DD2">
        <w:t>Do not slap the victim or walk/ drag them around to wake them up-if they cannot be roused by shouting, rubbing knuckles on the sternum (center of rib cage), or pinching their ear, they are unconscious.</w:t>
      </w:r>
    </w:p>
    <w:p w14:paraId="10089C48" w14:textId="77777777" w:rsidR="00CF6016" w:rsidRPr="00E47DD2" w:rsidRDefault="00CF6016">
      <w:pPr>
        <w:pStyle w:val="ListParagraph"/>
        <w:numPr>
          <w:ilvl w:val="0"/>
          <w:numId w:val="20"/>
        </w:numPr>
      </w:pPr>
      <w:r w:rsidRPr="00E47DD2">
        <w:t>Do not put the person into a cold bath or shower-they could fall, go into shock, or drown.</w:t>
      </w:r>
    </w:p>
    <w:p w14:paraId="35602B0E" w14:textId="77777777" w:rsidR="00CF6016" w:rsidRPr="00E47DD2" w:rsidRDefault="00CF6016">
      <w:pPr>
        <w:pStyle w:val="ListParagraph"/>
        <w:numPr>
          <w:ilvl w:val="0"/>
          <w:numId w:val="20"/>
        </w:numPr>
      </w:pPr>
      <w:r w:rsidRPr="00E47DD2">
        <w:t>Do not inject the person with any substances (salt water, “speed”, heroin, ect.)-the only antidote for an opioid overdose is naloxone (for medical personnel only).</w:t>
      </w:r>
    </w:p>
    <w:p w14:paraId="45609B11" w14:textId="77777777" w:rsidR="00CF6016" w:rsidRPr="00E47DD2" w:rsidRDefault="00CF6016">
      <w:pPr>
        <w:pStyle w:val="ListParagraph"/>
        <w:numPr>
          <w:ilvl w:val="0"/>
          <w:numId w:val="20"/>
        </w:numPr>
      </w:pPr>
      <w:r w:rsidRPr="00E47DD2">
        <w:t>Do not try to make the victim vomit orally ingested opioids-they may choke or inhale the vomit into their lungs causing fatal damage.</w:t>
      </w:r>
    </w:p>
    <w:p w14:paraId="223C4D24" w14:textId="77777777" w:rsidR="00CD5191" w:rsidRDefault="00CD5191" w:rsidP="002747E8">
      <w:pPr>
        <w:ind w:left="360"/>
      </w:pPr>
    </w:p>
    <w:p w14:paraId="0E64D403" w14:textId="281AABAD" w:rsidR="003740B0" w:rsidRDefault="00221F12">
      <w:pPr>
        <w:pStyle w:val="ListParagraph"/>
        <w:numPr>
          <w:ilvl w:val="0"/>
          <w:numId w:val="13"/>
        </w:numPr>
        <w:rPr>
          <w:b/>
          <w:bCs/>
        </w:rPr>
      </w:pPr>
      <w:r>
        <w:t xml:space="preserve"> </w:t>
      </w:r>
      <w:r w:rsidR="00DC5E98" w:rsidRPr="00DC5E98">
        <w:rPr>
          <w:b/>
          <w:bCs/>
        </w:rPr>
        <w:t>Tox</w:t>
      </w:r>
      <w:r w:rsidR="00DC5E98">
        <w:rPr>
          <w:b/>
          <w:bCs/>
        </w:rPr>
        <w:t>icology Screens</w:t>
      </w:r>
    </w:p>
    <w:p w14:paraId="7B85A5F8" w14:textId="7B848843" w:rsidR="00DC5E98" w:rsidRDefault="00DC5E98" w:rsidP="00DC5E98">
      <w:pPr>
        <w:ind w:left="360"/>
      </w:pPr>
      <w:r>
        <w:t>Testing for the presence o</w:t>
      </w:r>
      <w:r w:rsidR="00406713">
        <w:t>r</w:t>
      </w:r>
      <w:r>
        <w:t xml:space="preserve"> absence of </w:t>
      </w:r>
      <w:r w:rsidR="00406713">
        <w:t>substances</w:t>
      </w:r>
    </w:p>
    <w:p w14:paraId="1BC08DAF" w14:textId="2EF1651F" w:rsidR="005731AC" w:rsidRDefault="005731AC" w:rsidP="00DC5E98">
      <w:pPr>
        <w:ind w:left="360"/>
      </w:pPr>
      <w:r>
        <w:t xml:space="preserve">The OASAS Clinical Practice Guidance Number </w:t>
      </w:r>
      <w:r w:rsidR="00B470BE">
        <w:t>2012.3: Guidance on Urine Drug Testing</w:t>
      </w:r>
      <w:r w:rsidR="00B36836">
        <w:t xml:space="preserve"> recommends a minimum of</w:t>
      </w:r>
      <w:r w:rsidR="00406713">
        <w:t xml:space="preserve"> weekly</w:t>
      </w:r>
      <w:r w:rsidR="00B36836">
        <w:t xml:space="preserve"> </w:t>
      </w:r>
      <w:r w:rsidR="00F66D57">
        <w:t>testing</w:t>
      </w:r>
      <w:r w:rsidR="00B36836">
        <w:t xml:space="preserve"> at the beginning of treatment </w:t>
      </w:r>
      <w:r w:rsidR="00F66D57">
        <w:t>and</w:t>
      </w:r>
      <w:r w:rsidR="00B36836">
        <w:t xml:space="preserve"> </w:t>
      </w:r>
      <w:r w:rsidR="00406713">
        <w:t xml:space="preserve">increases in testing </w:t>
      </w:r>
      <w:r w:rsidR="00B36836">
        <w:t>whenever significant changes occur in the treatment plan or when failure to progress towards treatment goals, unexplained adverse effects, or deter</w:t>
      </w:r>
      <w:r w:rsidR="00F66D57">
        <w:t>ioration in the function occurs. Observed testing is recommended.</w:t>
      </w:r>
      <w:r w:rsidR="00D159BE">
        <w:t xml:space="preserve"> At Fusion Recovery all toxicology may be observed, and the observations will be done by a counselor</w:t>
      </w:r>
      <w:r w:rsidR="008A2F09">
        <w:t xml:space="preserve"> of the same gender as the client.</w:t>
      </w:r>
    </w:p>
    <w:p w14:paraId="1646A461" w14:textId="42EE9AB9" w:rsidR="008A2F09" w:rsidRDefault="008A2F09" w:rsidP="00DC5E98">
      <w:pPr>
        <w:ind w:left="360"/>
      </w:pPr>
      <w:r>
        <w:t xml:space="preserve">Toxicology testing is used to </w:t>
      </w:r>
      <w:r w:rsidR="00406713">
        <w:t>gather information</w:t>
      </w:r>
      <w:r w:rsidR="00763501">
        <w:t>,</w:t>
      </w:r>
      <w:r w:rsidR="00406713">
        <w:t xml:space="preserve"> not punish</w:t>
      </w:r>
      <w:r w:rsidR="00763501">
        <w:t>,</w:t>
      </w:r>
      <w:r w:rsidR="00406713">
        <w:t xml:space="preserve"> a client for use of a substance in order to </w:t>
      </w:r>
      <w:r>
        <w:t xml:space="preserve">advocate for patients, to justify continuing treatment with opioid medication, to make referrals to </w:t>
      </w:r>
      <w:r w:rsidR="00406713">
        <w:t xml:space="preserve">a </w:t>
      </w:r>
      <w:r>
        <w:t>specialist</w:t>
      </w:r>
      <w:r w:rsidR="00DF2074">
        <w:t xml:space="preserve"> </w:t>
      </w:r>
      <w:r w:rsidR="00406713">
        <w:t xml:space="preserve">or other program, </w:t>
      </w:r>
      <w:r w:rsidR="00DF2074">
        <w:t xml:space="preserve">to monitor </w:t>
      </w:r>
      <w:r w:rsidR="00406713">
        <w:t>progress on treatment goals</w:t>
      </w:r>
      <w:r w:rsidR="00DF2074">
        <w:t xml:space="preserve">, and </w:t>
      </w:r>
      <w:r w:rsidR="00DF2074">
        <w:lastRenderedPageBreak/>
        <w:t>to reduce the risk of overdose or diversion. Obtaining results which require referral or other significant interventions may prevent overdose and even death.</w:t>
      </w:r>
    </w:p>
    <w:p w14:paraId="0BAF1CEA" w14:textId="7E90A0FE" w:rsidR="00DF2074" w:rsidRDefault="00D609F8" w:rsidP="00DC5E98">
      <w:pPr>
        <w:ind w:left="360"/>
      </w:pPr>
      <w:r>
        <w:t xml:space="preserve">Clients are required to submit a toxicology specimen when requested by staff. Fusion Recovery requires that clients leave observed toxicology </w:t>
      </w:r>
      <w:r w:rsidR="00E8538F">
        <w:t>specimens</w:t>
      </w:r>
      <w:r>
        <w:t xml:space="preserve"> upon random selection at least once a week for the first 30 days and </w:t>
      </w:r>
      <w:r w:rsidR="00406713">
        <w:t>after on a random frequency determined by staff thereafter</w:t>
      </w:r>
      <w:r>
        <w:t>.</w:t>
      </w:r>
      <w:r w:rsidR="00AF3882">
        <w:t xml:space="preserve"> </w:t>
      </w:r>
      <w:r w:rsidR="00406713">
        <w:t>An increase in the frequency of</w:t>
      </w:r>
      <w:r w:rsidR="00AF3882">
        <w:t xml:space="preserve"> toxicology </w:t>
      </w:r>
      <w:r w:rsidR="00406713">
        <w:t>can</w:t>
      </w:r>
      <w:r w:rsidR="00AF3882">
        <w:t xml:space="preserve"> be reinstated if there is a clinical need to do so</w:t>
      </w:r>
      <w:r w:rsidR="00406713">
        <w:t xml:space="preserve"> (such as having high risk factors for overdose)</w:t>
      </w:r>
      <w:r w:rsidR="00AF3882">
        <w:t>.</w:t>
      </w:r>
      <w:r w:rsidR="00E8538F">
        <w:t xml:space="preserve"> </w:t>
      </w:r>
      <w:r w:rsidR="008E669B">
        <w:t xml:space="preserve"> </w:t>
      </w:r>
      <w:r w:rsidR="005A1589">
        <w:t xml:space="preserve">Once a </w:t>
      </w:r>
      <w:r w:rsidR="00406713">
        <w:t>toxicology</w:t>
      </w:r>
      <w:r w:rsidR="00E17D34">
        <w:t xml:space="preserve"> has been requested, you are required to submit your sample </w:t>
      </w:r>
      <w:r w:rsidR="00406713">
        <w:t>on the day of request</w:t>
      </w:r>
      <w:r w:rsidR="00E17D34">
        <w:t xml:space="preserve">. If you leave the facility before giving your sample, you will </w:t>
      </w:r>
      <w:r w:rsidR="00CA0DEB">
        <w:t xml:space="preserve">not be able to submit or leave </w:t>
      </w:r>
      <w:r w:rsidR="00406713">
        <w:t>the sample</w:t>
      </w:r>
      <w:r w:rsidR="00CA0DEB">
        <w:t xml:space="preserve"> on that day</w:t>
      </w:r>
      <w:r w:rsidR="00406713">
        <w:t xml:space="preserve"> which will then be labeled as unable to obtain</w:t>
      </w:r>
      <w:r w:rsidR="00CA0DEB">
        <w:t xml:space="preserve">. </w:t>
      </w:r>
      <w:r w:rsidR="00406713">
        <w:t xml:space="preserve">Consistent inability to obtain toxicology samples from a client may result </w:t>
      </w:r>
      <w:r w:rsidR="000C4BB2">
        <w:t xml:space="preserve">further conversations with the treatment team on their status in the program. </w:t>
      </w:r>
    </w:p>
    <w:p w14:paraId="598BF932" w14:textId="59C19B30" w:rsidR="0069080B" w:rsidRDefault="0074260E" w:rsidP="00DC5E98">
      <w:pPr>
        <w:ind w:left="360"/>
      </w:pPr>
      <w:r>
        <w:t>All</w:t>
      </w:r>
      <w:r w:rsidR="008176DB">
        <w:t xml:space="preserve"> your toxicology results will be reviewed and discussed with you</w:t>
      </w:r>
      <w:r w:rsidR="000C4BB2">
        <w:t xml:space="preserve"> in individual sessions</w:t>
      </w:r>
      <w:r w:rsidR="008176DB">
        <w:t xml:space="preserve">. </w:t>
      </w:r>
      <w:r>
        <w:t xml:space="preserve">Your primary counselor </w:t>
      </w:r>
      <w:r w:rsidR="000C4BB2">
        <w:t xml:space="preserve">will work with you on additional interventions based on the results as needed and medical staff will discuss the results with you as it relates to your safety on your current prescribed medications (as applicable). </w:t>
      </w:r>
    </w:p>
    <w:p w14:paraId="4E8E549A" w14:textId="2C39812C" w:rsidR="00D61A39" w:rsidRDefault="00C41F0E" w:rsidP="00CA019F">
      <w:r w:rsidRPr="00301053">
        <w:rPr>
          <w:b/>
          <w:bCs/>
        </w:rPr>
        <w:t xml:space="preserve">Combining </w:t>
      </w:r>
      <w:r w:rsidR="00FD20DE" w:rsidRPr="00301053">
        <w:rPr>
          <w:b/>
          <w:bCs/>
        </w:rPr>
        <w:t xml:space="preserve">Methadone, Buprenorphine, and/or Vivitrol </w:t>
      </w:r>
      <w:r w:rsidR="000C4BB2">
        <w:rPr>
          <w:b/>
          <w:bCs/>
        </w:rPr>
        <w:t xml:space="preserve">with alcohol or benzodiazepines </w:t>
      </w:r>
      <w:r w:rsidR="00FD20DE" w:rsidRPr="00301053">
        <w:rPr>
          <w:b/>
          <w:bCs/>
        </w:rPr>
        <w:t>can cause harmful reactions,</w:t>
      </w:r>
      <w:r w:rsidR="00301053">
        <w:rPr>
          <w:b/>
          <w:bCs/>
        </w:rPr>
        <w:t xml:space="preserve"> </w:t>
      </w:r>
      <w:r w:rsidR="00301053">
        <w:t>including overdose and death.</w:t>
      </w:r>
      <w:r w:rsidR="00560318">
        <w:t xml:space="preserve"> If the clinical or medical staff think you </w:t>
      </w:r>
      <w:r w:rsidR="000C4BB2">
        <w:t>are under the influence of substances on program property</w:t>
      </w:r>
      <w:r w:rsidR="00D903A2">
        <w:t xml:space="preserve">, you </w:t>
      </w:r>
      <w:r w:rsidR="000C4BB2">
        <w:t>can</w:t>
      </w:r>
      <w:r w:rsidR="00D903A2">
        <w:t xml:space="preserve"> be asked to take a breathalyzer</w:t>
      </w:r>
      <w:r w:rsidR="000C4BB2">
        <w:t xml:space="preserve"> or rapid urine drug screen</w:t>
      </w:r>
      <w:r w:rsidR="00D903A2">
        <w:t xml:space="preserve"> tes</w:t>
      </w:r>
      <w:r w:rsidR="000C4BB2">
        <w:t>t</w:t>
      </w:r>
      <w:r w:rsidR="00D903A2">
        <w:t xml:space="preserve">. </w:t>
      </w:r>
      <w:r w:rsidR="00C73F7A">
        <w:t xml:space="preserve">Remember, you will not </w:t>
      </w:r>
      <w:r w:rsidR="000C4BB2">
        <w:t>receive a methadone dose</w:t>
      </w:r>
      <w:r w:rsidR="00C73F7A">
        <w:t xml:space="preserve"> if there is evidence of alcohol in your system. The medical staff has the right to refuse your dose if they believe you </w:t>
      </w:r>
      <w:r w:rsidR="00803BBD">
        <w:t>have been drinking</w:t>
      </w:r>
      <w:r w:rsidR="000C4BB2">
        <w:t xml:space="preserve"> or are otherwise </w:t>
      </w:r>
      <w:r w:rsidR="00143EAE">
        <w:t xml:space="preserve">too </w:t>
      </w:r>
      <w:r w:rsidR="000C4BB2">
        <w:t>impaired</w:t>
      </w:r>
      <w:r w:rsidR="00143EAE">
        <w:t>/intoxicated to be safely medicated</w:t>
      </w:r>
      <w:r w:rsidR="00803BBD">
        <w:t>. Law enfor</w:t>
      </w:r>
      <w:r w:rsidR="00D61A39">
        <w:t>cement will be notified in the event you leave the premises under the influence and are driving a motor vehicle.</w:t>
      </w:r>
    </w:p>
    <w:p w14:paraId="127146BC" w14:textId="77777777" w:rsidR="00D20C42" w:rsidRDefault="00D20C42" w:rsidP="00CA019F"/>
    <w:p w14:paraId="052A2D1F" w14:textId="54F0DDB5" w:rsidR="007D6119" w:rsidRDefault="00D96923">
      <w:pPr>
        <w:pStyle w:val="ListParagraph"/>
        <w:numPr>
          <w:ilvl w:val="0"/>
          <w:numId w:val="13"/>
        </w:numPr>
        <w:rPr>
          <w:b/>
          <w:bCs/>
        </w:rPr>
      </w:pPr>
      <w:r w:rsidRPr="00D96923">
        <w:rPr>
          <w:b/>
          <w:bCs/>
        </w:rPr>
        <w:t>Medication</w:t>
      </w:r>
    </w:p>
    <w:p w14:paraId="56A5D35E" w14:textId="7D151061" w:rsidR="00CF3049" w:rsidRDefault="003B1F4C" w:rsidP="00CA019F">
      <w:r>
        <w:t>Three medications, Methadone, Buprenorphine</w:t>
      </w:r>
      <w:r w:rsidR="00143EAE">
        <w:t>,</w:t>
      </w:r>
      <w:r>
        <w:t xml:space="preserve"> and </w:t>
      </w:r>
      <w:r w:rsidR="00143EAE">
        <w:t>naltrexone</w:t>
      </w:r>
      <w:r>
        <w:t xml:space="preserve"> (</w:t>
      </w:r>
      <w:r w:rsidR="00143EAE">
        <w:t>Vivitrol</w:t>
      </w:r>
      <w:r>
        <w:t>) are available at Fusion Recovery</w:t>
      </w:r>
      <w:r w:rsidR="00143EAE">
        <w:t xml:space="preserve"> t</w:t>
      </w:r>
      <w:r w:rsidR="006F2A99">
        <w:t>o assist you in overcoming</w:t>
      </w:r>
      <w:r w:rsidR="009355E4">
        <w:t xml:space="preserve"> your cravings to use opiates</w:t>
      </w:r>
      <w:r w:rsidR="00143EAE">
        <w:t>/alcohol</w:t>
      </w:r>
      <w:r w:rsidR="009355E4">
        <w:t>.</w:t>
      </w:r>
      <w:r w:rsidR="00B07324">
        <w:t xml:space="preserve"> Adhering to the MAT regimen </w:t>
      </w:r>
      <w:r w:rsidR="00143EAE">
        <w:t>can be</w:t>
      </w:r>
      <w:r w:rsidR="00B07324">
        <w:t xml:space="preserve"> a crucial piece in overcoming addiction and moving into the maintenance phase of recovery. After consistent maintenance and reliable lifestyle changes, you may be</w:t>
      </w:r>
      <w:r w:rsidR="00CF3049">
        <w:t xml:space="preserve"> able to wean off the medication and still maintain recovery and sobriety; but maintenance stage should last as long as you and your primary counselor agree that you need medication-assisted treatment to sustain on-going recovery goals. Even in maintenance, clients</w:t>
      </w:r>
      <w:r w:rsidR="00143EAE">
        <w:t xml:space="preserve"> are still encouraged to</w:t>
      </w:r>
      <w:r w:rsidR="00CF3049">
        <w:t xml:space="preserve"> attend all required treatment program sessions, provide random toxicology screens, and attend medication management appointments.</w:t>
      </w:r>
    </w:p>
    <w:p w14:paraId="4E5E78F8" w14:textId="1D8EF25E" w:rsidR="00D96923" w:rsidRDefault="00223A5B" w:rsidP="00CA019F">
      <w:r>
        <w:lastRenderedPageBreak/>
        <w:t xml:space="preserve">You and your primary counselor can carefully discuss recovery without </w:t>
      </w:r>
      <w:r w:rsidR="002528AB">
        <w:t xml:space="preserve">MAT and </w:t>
      </w:r>
      <w:r w:rsidR="00555422">
        <w:t xml:space="preserve">if clinically appropriate, work toward developing a medication-free recovery plan. You will work with your primary counselor to develop a plan for tapering from the medication. This phase </w:t>
      </w:r>
      <w:r w:rsidR="00A40681">
        <w:t>often requires an increase in counseling services. It’s not unusual for a client to resume medication after a first attempt to taper or discontinue</w:t>
      </w:r>
      <w:r w:rsidR="00795593">
        <w:t>. The clinical and medical staff at Fusion Recovery are prepared to provide additional support.</w:t>
      </w:r>
    </w:p>
    <w:p w14:paraId="37D60BA5" w14:textId="77777777" w:rsidR="00187B3E" w:rsidRDefault="00187B3E" w:rsidP="00CA019F">
      <w:pPr>
        <w:ind w:left="360"/>
      </w:pPr>
    </w:p>
    <w:p w14:paraId="218AC7F4" w14:textId="77777777" w:rsidR="00D20C42" w:rsidRDefault="00D20C42" w:rsidP="00CA019F">
      <w:pPr>
        <w:ind w:left="360"/>
      </w:pPr>
    </w:p>
    <w:p w14:paraId="5F35B9EA" w14:textId="6DE22384" w:rsidR="00187B3E" w:rsidRDefault="00187B3E">
      <w:pPr>
        <w:pStyle w:val="ListParagraph"/>
        <w:numPr>
          <w:ilvl w:val="0"/>
          <w:numId w:val="13"/>
        </w:numPr>
        <w:rPr>
          <w:b/>
          <w:bCs/>
        </w:rPr>
      </w:pPr>
      <w:r>
        <w:rPr>
          <w:b/>
          <w:bCs/>
        </w:rPr>
        <w:t>Discharge</w:t>
      </w:r>
    </w:p>
    <w:p w14:paraId="1E0A51BE" w14:textId="798522D5" w:rsidR="00187B3E" w:rsidRDefault="00187B3E" w:rsidP="004D670F">
      <w:r>
        <w:t xml:space="preserve">Engagement in treatment at Fusion Recovery and you have a right to request to be discharged at any time for any reason.  You and your primary counselor will collaborate on an individualized discharge plan when you are ready to leave treatment, including a plan for tapering off or continuing on medications if needed.  Your primary counselor will help you with referrals to other services if needed and review your treatment plan goals to complete you from treatment.  </w:t>
      </w:r>
    </w:p>
    <w:p w14:paraId="6906A977" w14:textId="20ECBF6E" w:rsidR="00E47DD2" w:rsidRDefault="004D670F" w:rsidP="005318C0">
      <w:r>
        <w:t xml:space="preserve">If you have been absent from the program for 30 or more days (60 or more days if you are on methadone), you will be discharged from treatment as a loss of contact.  Program staff will be attempting to contact you prior to this date and will make arrangements with you to re-engage with the program if that is your wish.  </w:t>
      </w:r>
    </w:p>
    <w:p w14:paraId="0B6F0E27" w14:textId="77777777" w:rsidR="006D34B9" w:rsidRPr="00087B1F" w:rsidRDefault="006D34B9" w:rsidP="005318C0"/>
    <w:p w14:paraId="264AEF0B" w14:textId="493E1A48" w:rsidR="004D670F" w:rsidRDefault="008C3CEE" w:rsidP="005318C0">
      <w:pPr>
        <w:jc w:val="center"/>
        <w:rPr>
          <w:b/>
          <w:bCs/>
        </w:rPr>
      </w:pPr>
      <w:r>
        <w:rPr>
          <w:b/>
          <w:bCs/>
        </w:rPr>
        <w:t>GENERAL PROGRAM RULES</w:t>
      </w:r>
    </w:p>
    <w:p w14:paraId="7F39970E" w14:textId="58470291" w:rsidR="008C3CEE" w:rsidRDefault="008C3CEE" w:rsidP="008C3CEE">
      <w:r>
        <w:t xml:space="preserve">All clients admitted to Fusion Recovery are expected to follow </w:t>
      </w:r>
      <w:r w:rsidR="00B23476">
        <w:t>the following rules while in treatment:</w:t>
      </w:r>
    </w:p>
    <w:p w14:paraId="4D484462" w14:textId="4BB0AE45" w:rsidR="00CF6016" w:rsidRPr="00CF6016" w:rsidRDefault="00CF6016">
      <w:pPr>
        <w:pStyle w:val="ListParagraph"/>
        <w:numPr>
          <w:ilvl w:val="0"/>
          <w:numId w:val="20"/>
        </w:numPr>
      </w:pPr>
      <w:r w:rsidRPr="00CF6016">
        <w:t xml:space="preserve">Participation in treatment services while under the influence of drugs or alcohol is not permitted. Law enforcement </w:t>
      </w:r>
      <w:r w:rsidR="00E127DC">
        <w:t>can</w:t>
      </w:r>
      <w:r w:rsidRPr="00CF6016">
        <w:t xml:space="preserve"> be notified in the event someone leaves the premises under the influence and is driving a motor vehicle.</w:t>
      </w:r>
    </w:p>
    <w:p w14:paraId="5216D8CE" w14:textId="580D08E4" w:rsidR="00B23476" w:rsidRDefault="00B23476">
      <w:pPr>
        <w:pStyle w:val="ListParagraph"/>
        <w:numPr>
          <w:ilvl w:val="0"/>
          <w:numId w:val="20"/>
        </w:numPr>
      </w:pPr>
      <w:r>
        <w:t xml:space="preserve">No use or possession of illicit substances on Fusion Recovery property. </w:t>
      </w:r>
    </w:p>
    <w:p w14:paraId="327FA50E" w14:textId="46F91DCD" w:rsidR="00B23476" w:rsidRDefault="00B23476">
      <w:pPr>
        <w:pStyle w:val="ListParagraph"/>
        <w:numPr>
          <w:ilvl w:val="0"/>
          <w:numId w:val="20"/>
        </w:numPr>
      </w:pPr>
      <w:r>
        <w:t>No exchanging of any items (money, substances, cigarettes, etc.) on Fusion property.</w:t>
      </w:r>
    </w:p>
    <w:p w14:paraId="3A5449D2" w14:textId="4568EA82" w:rsidR="00B23476" w:rsidRDefault="00B23476">
      <w:pPr>
        <w:pStyle w:val="ListParagraph"/>
        <w:numPr>
          <w:ilvl w:val="0"/>
          <w:numId w:val="20"/>
        </w:numPr>
      </w:pPr>
      <w:r>
        <w:t xml:space="preserve">No weapons of any kind (knives, firearms, or other objects that </w:t>
      </w:r>
      <w:r w:rsidR="00E127DC">
        <w:t>have</w:t>
      </w:r>
      <w:r>
        <w:t xml:space="preserve"> the purpose to cause bodily harm) on Fusion property under any circumstances. </w:t>
      </w:r>
    </w:p>
    <w:p w14:paraId="4389D4F8" w14:textId="424A3EC3" w:rsidR="009C3385" w:rsidRDefault="009C3385">
      <w:pPr>
        <w:pStyle w:val="ListParagraph"/>
        <w:numPr>
          <w:ilvl w:val="0"/>
          <w:numId w:val="20"/>
        </w:numPr>
      </w:pPr>
      <w:r>
        <w:t>No clothing that promotes or advertises substance</w:t>
      </w:r>
      <w:r w:rsidR="006A043D">
        <w:t>s</w:t>
      </w:r>
      <w:r>
        <w:t xml:space="preserve"> and/or substance use or contains offensive, abusive, or inappropriate content.  </w:t>
      </w:r>
    </w:p>
    <w:p w14:paraId="640910C5" w14:textId="7B0E9E37" w:rsidR="006A043D" w:rsidRDefault="006A043D">
      <w:pPr>
        <w:pStyle w:val="ListParagraph"/>
        <w:numPr>
          <w:ilvl w:val="0"/>
          <w:numId w:val="20"/>
        </w:numPr>
      </w:pPr>
      <w:r>
        <w:t xml:space="preserve">No see-through or sheer clothing, visible undergarments, bathing suits, clothing that exposes midriffs, </w:t>
      </w:r>
      <w:r w:rsidR="3EF2B737">
        <w:t xml:space="preserve">shorts/skirts that are no shorter than arm’s length, </w:t>
      </w:r>
      <w:r>
        <w:t xml:space="preserve">strapless tops, or sagging pants.  </w:t>
      </w:r>
    </w:p>
    <w:p w14:paraId="48B1BAB4" w14:textId="771CC439" w:rsidR="009C3385" w:rsidRDefault="009C3385">
      <w:pPr>
        <w:pStyle w:val="ListParagraph"/>
        <w:numPr>
          <w:ilvl w:val="0"/>
          <w:numId w:val="20"/>
        </w:numPr>
      </w:pPr>
      <w:r>
        <w:lastRenderedPageBreak/>
        <w:t xml:space="preserve">Please be respectful of Fusion Recovery staff members and property.  Any harm to either staff or property is prohibited. Verbal threats, harassment, or inappropriate acts toward a staff may could potentially result in discharge. </w:t>
      </w:r>
    </w:p>
    <w:p w14:paraId="22E5811A" w14:textId="5B94FD94" w:rsidR="009C3385" w:rsidRDefault="009C3385">
      <w:pPr>
        <w:pStyle w:val="ListParagraph"/>
        <w:numPr>
          <w:ilvl w:val="0"/>
          <w:numId w:val="20"/>
        </w:numPr>
      </w:pPr>
      <w:r>
        <w:t>No passing of items with other clients on Fusion Recovery’s property.  This includes money, substances, cigarettes, or over the counter medications (such as Tylenol or ibuprofen).</w:t>
      </w:r>
    </w:p>
    <w:p w14:paraId="5571678C" w14:textId="77777777" w:rsidR="009C3385" w:rsidRDefault="009C3385" w:rsidP="009C3385"/>
    <w:p w14:paraId="441E3FA0" w14:textId="77777777" w:rsidR="00DE260C" w:rsidRDefault="00DE260C" w:rsidP="009C3385"/>
    <w:p w14:paraId="3F4F5D1A" w14:textId="77777777" w:rsidR="00DE260C" w:rsidRDefault="00DE260C" w:rsidP="009C3385"/>
    <w:p w14:paraId="1CC24738" w14:textId="77777777" w:rsidR="00DE260C" w:rsidRDefault="00DE260C" w:rsidP="009C3385"/>
    <w:p w14:paraId="2C5D914A" w14:textId="525F975C" w:rsidR="009C3385" w:rsidRDefault="009C3385" w:rsidP="009C3385">
      <w:r>
        <w:rPr>
          <w:b/>
          <w:bCs/>
        </w:rPr>
        <w:t>Group Rules</w:t>
      </w:r>
    </w:p>
    <w:p w14:paraId="4EC9B5AB" w14:textId="2D891FD2" w:rsidR="009C3385" w:rsidRDefault="009C3385" w:rsidP="009C3385">
      <w:r>
        <w:t xml:space="preserve">Group therapy sessions are considered an important part of Fusion Recovery’s program.  All content of a group therapy session is </w:t>
      </w:r>
      <w:r>
        <w:rPr>
          <w:b/>
          <w:bCs/>
        </w:rPr>
        <w:t>confidential</w:t>
      </w:r>
      <w:r>
        <w:t xml:space="preserve"> and must not be shared with anyone outside of that group (including the identity of the members of that group).  You have 15 minutes after the start of the group to arrive before you are counted as absent.  You may not use a cell phone in group other than for approved activities of the group or in the case of emergencies.  Please stay in the group for the duration of the session </w:t>
      </w:r>
      <w:r w:rsidR="004C0665">
        <w:t xml:space="preserve">as much as possible as frequent breaks with clients leaving/re-entering the room can causes disruptions to the therapy process.  Please treat all other group members with respect as Fusion wants to provide a safe space where all can participate and feel comfortable in doing so since that is how the group process will provide the best help to everyone involved.  </w:t>
      </w:r>
    </w:p>
    <w:p w14:paraId="7BF6CF67" w14:textId="5F79E2B4" w:rsidR="005A6DA8" w:rsidRPr="005A6DA8" w:rsidRDefault="005A6DA8" w:rsidP="009C3385">
      <w:r>
        <w:t xml:space="preserve">A </w:t>
      </w:r>
      <w:r>
        <w:rPr>
          <w:b/>
          <w:bCs/>
        </w:rPr>
        <w:t>program orientation</w:t>
      </w:r>
      <w:r>
        <w:t xml:space="preserve"> group will be required for new clients of our program to attend that will cover various topics included in this handbook, but will also cover important topics surrounding MAS transportation, harm reduction, and/or Narcan training.  The specifics surrounding takehome bottles will be discussed during that meeting so attendance is being required so you can have the greatest understanding on the policies surrounding their safekeeping and recall procedures. </w:t>
      </w:r>
    </w:p>
    <w:p w14:paraId="2AB6123E" w14:textId="77777777" w:rsidR="004C0665" w:rsidRDefault="004C0665" w:rsidP="009C3385"/>
    <w:p w14:paraId="19861375" w14:textId="4379139E" w:rsidR="004C0665" w:rsidRDefault="004C0665" w:rsidP="009C3385">
      <w:pPr>
        <w:rPr>
          <w:b/>
          <w:bCs/>
        </w:rPr>
      </w:pPr>
      <w:r>
        <w:rPr>
          <w:b/>
          <w:bCs/>
        </w:rPr>
        <w:t xml:space="preserve">Tobacco Free Policies </w:t>
      </w:r>
    </w:p>
    <w:p w14:paraId="70DF5EE7" w14:textId="7D609B55" w:rsidR="008C3CEE" w:rsidRDefault="004C0665" w:rsidP="004D670F">
      <w:r>
        <w:t xml:space="preserve">Fusion Recovery is a tobacco-free property and ask that any clients attending treatment at our program to please use any nicotine products (cigarettes, e-cigarettes, vapes, or chewing tobacco) outside our property (which includes our parking lot).  Please keep cigarettes and other paraphernalia associated with nicotine (vapes, lighters, tins) out of sight while you are inside of the building.  Smoking cessation education is provided to all clients upon request that can </w:t>
      </w:r>
      <w:r>
        <w:lastRenderedPageBreak/>
        <w:t xml:space="preserve">include coping skills as well as information about available nicotine replacement therapies (NRTs). </w:t>
      </w:r>
    </w:p>
    <w:p w14:paraId="4AE53039" w14:textId="77777777" w:rsidR="005A6DA8" w:rsidRDefault="005A6DA8" w:rsidP="004D670F"/>
    <w:p w14:paraId="2B5C0F00" w14:textId="5878CDE7" w:rsidR="004C0665" w:rsidRDefault="004C0665" w:rsidP="004D670F">
      <w:r>
        <w:rPr>
          <w:b/>
          <w:bCs/>
        </w:rPr>
        <w:t>Loitering Policy</w:t>
      </w:r>
    </w:p>
    <w:p w14:paraId="57F4ACEB" w14:textId="3716FA97" w:rsidR="007C153E" w:rsidRDefault="004C0665" w:rsidP="004D670F">
      <w:r>
        <w:t xml:space="preserve">All clients involved in services in Fusion Recovery </w:t>
      </w:r>
      <w:r w:rsidR="00441882">
        <w:t>are advised that if you are not waiting for an appointment with counseling, medical staff, billing, a group session</w:t>
      </w:r>
      <w:r w:rsidR="007C153E">
        <w:t>, or medication</w:t>
      </w:r>
      <w:r w:rsidR="00441882">
        <w:t xml:space="preserve"> you can be considered to be loitering.  </w:t>
      </w:r>
      <w:r w:rsidR="007C153E">
        <w:t xml:space="preserve">Once you receive the service you were waiting for and/or finish our other business at our program, you must leave our premises (including the parking lot).  Additionally as a client here, you are expected to act in a respectful manner to the other residents of the area and local business owners.  If it is proven that you are disruptive in the other businesses (including verbal threats, </w:t>
      </w:r>
      <w:r w:rsidR="005A0DE1">
        <w:t xml:space="preserve">harassment, </w:t>
      </w:r>
      <w:r w:rsidR="007C153E">
        <w:t xml:space="preserve">physical abuse, </w:t>
      </w:r>
      <w:r w:rsidR="005A0DE1">
        <w:t xml:space="preserve">stealing, or property damage), it could also potentially lead to discharge from the program. </w:t>
      </w:r>
    </w:p>
    <w:p w14:paraId="5B1B652C" w14:textId="77777777" w:rsidR="009C59B1" w:rsidRPr="004C0665" w:rsidRDefault="009C59B1" w:rsidP="004D670F"/>
    <w:p w14:paraId="75A79CDB" w14:textId="77777777" w:rsidR="005A6DA8" w:rsidRDefault="005A6DA8" w:rsidP="005A6DA8">
      <w:pPr>
        <w:rPr>
          <w:b/>
          <w:bCs/>
        </w:rPr>
      </w:pPr>
    </w:p>
    <w:p w14:paraId="222BD4E2" w14:textId="61FB02CF" w:rsidR="00823DD3" w:rsidRDefault="00823DD3" w:rsidP="005A6DA8">
      <w:pPr>
        <w:jc w:val="center"/>
        <w:rPr>
          <w:b/>
          <w:bCs/>
        </w:rPr>
      </w:pPr>
      <w:r>
        <w:rPr>
          <w:b/>
          <w:bCs/>
        </w:rPr>
        <w:t>ADMINISTRATIVE</w:t>
      </w:r>
    </w:p>
    <w:p w14:paraId="4F62ACAA" w14:textId="77777777" w:rsidR="00143EAE" w:rsidRDefault="00143EAE" w:rsidP="00823DD3">
      <w:pPr>
        <w:ind w:left="1260"/>
        <w:jc w:val="center"/>
        <w:rPr>
          <w:b/>
          <w:bCs/>
        </w:rPr>
      </w:pPr>
    </w:p>
    <w:p w14:paraId="245C7D5D" w14:textId="1E902B2F" w:rsidR="00823DD3" w:rsidRPr="00763501" w:rsidRDefault="00434773" w:rsidP="00763501">
      <w:pPr>
        <w:rPr>
          <w:b/>
          <w:bCs/>
        </w:rPr>
      </w:pPr>
      <w:r w:rsidRPr="00763501">
        <w:rPr>
          <w:b/>
          <w:bCs/>
        </w:rPr>
        <w:t>CONFIDENTIALITY OF CLIENT RECORDS</w:t>
      </w:r>
    </w:p>
    <w:p w14:paraId="676F2DFB" w14:textId="0C2B6527" w:rsidR="00434773" w:rsidRPr="00D8165A" w:rsidRDefault="00434773" w:rsidP="00763501">
      <w:pPr>
        <w:rPr>
          <w:b/>
          <w:bCs/>
        </w:rPr>
      </w:pPr>
      <w:r>
        <w:t>Federal and State law and regulations protect the con</w:t>
      </w:r>
      <w:r w:rsidR="00167250">
        <w:t>fidentiality of client records maintained by the clinic. This means that the clinic staff may not disclose information or records about a client to persons outside the clinic,</w:t>
      </w:r>
      <w:r w:rsidR="00D8165A">
        <w:t xml:space="preserve"> </w:t>
      </w:r>
      <w:r w:rsidR="00D8165A" w:rsidRPr="00D8165A">
        <w:rPr>
          <w:b/>
          <w:bCs/>
        </w:rPr>
        <w:t>UNLESS the client:</w:t>
      </w:r>
    </w:p>
    <w:p w14:paraId="61C23B02" w14:textId="0A7951CD" w:rsidR="00167250" w:rsidRDefault="00D8165A">
      <w:pPr>
        <w:pStyle w:val="ListParagraph"/>
        <w:numPr>
          <w:ilvl w:val="0"/>
          <w:numId w:val="23"/>
        </w:numPr>
      </w:pPr>
      <w:r>
        <w:t>Consents in writing</w:t>
      </w:r>
    </w:p>
    <w:p w14:paraId="2584CCD7" w14:textId="45E44BEC" w:rsidR="00D8165A" w:rsidRDefault="00D8165A">
      <w:pPr>
        <w:pStyle w:val="ListParagraph"/>
        <w:numPr>
          <w:ilvl w:val="0"/>
          <w:numId w:val="23"/>
        </w:numPr>
      </w:pPr>
      <w:r>
        <w:t>Discloses child or elder abuse or neglect or the clinic staff suspect child or elder abuse or neglect.</w:t>
      </w:r>
    </w:p>
    <w:p w14:paraId="438A84E6" w14:textId="49814994" w:rsidR="00125A7A" w:rsidRDefault="00D8165A">
      <w:pPr>
        <w:pStyle w:val="ListParagraph"/>
        <w:numPr>
          <w:ilvl w:val="0"/>
          <w:numId w:val="23"/>
        </w:numPr>
      </w:pPr>
      <w:r>
        <w:t>Commits a crime either at the clinic or against any person(</w:t>
      </w:r>
      <w:r w:rsidR="00C87AB4">
        <w:t xml:space="preserve">s) who </w:t>
      </w:r>
      <w:r w:rsidR="005931DD">
        <w:t>works</w:t>
      </w:r>
      <w:r w:rsidR="00C87AB4">
        <w:t xml:space="preserve"> for the </w:t>
      </w:r>
      <w:r w:rsidR="00125A7A">
        <w:t>clinic or</w:t>
      </w:r>
      <w:r w:rsidR="00C87AB4">
        <w:t xml:space="preserve"> threatens to commit such a crime.</w:t>
      </w:r>
    </w:p>
    <w:p w14:paraId="06FB39B9" w14:textId="4EBED7F7" w:rsidR="00D8165A" w:rsidRDefault="00125A7A">
      <w:pPr>
        <w:pStyle w:val="ListParagraph"/>
        <w:numPr>
          <w:ilvl w:val="0"/>
          <w:numId w:val="23"/>
        </w:numPr>
      </w:pPr>
      <w:r>
        <w:t>Is</w:t>
      </w:r>
      <w:r w:rsidR="00C87AB4">
        <w:t xml:space="preserve"> </w:t>
      </w:r>
      <w:r>
        <w:t xml:space="preserve">subject to a court order that requires </w:t>
      </w:r>
      <w:r w:rsidR="005931DD">
        <w:t>disclosure.</w:t>
      </w:r>
    </w:p>
    <w:p w14:paraId="0F6EE2AE" w14:textId="4D76A3A4" w:rsidR="00125A7A" w:rsidRDefault="00125A7A">
      <w:pPr>
        <w:pStyle w:val="ListParagraph"/>
        <w:numPr>
          <w:ilvl w:val="0"/>
          <w:numId w:val="23"/>
        </w:numPr>
      </w:pPr>
      <w:r>
        <w:t>Requires dise</w:t>
      </w:r>
      <w:r w:rsidR="005931DD">
        <w:t>nrollment from another MAT service (to prevent multiple enrollments)</w:t>
      </w:r>
    </w:p>
    <w:p w14:paraId="0A40FB7B" w14:textId="5610BB44" w:rsidR="005931DD" w:rsidRDefault="005931DD">
      <w:pPr>
        <w:pStyle w:val="ListParagraph"/>
        <w:numPr>
          <w:ilvl w:val="0"/>
          <w:numId w:val="23"/>
        </w:numPr>
      </w:pPr>
      <w:r>
        <w:t>Requires attention from medical personnel in a medical emergency.</w:t>
      </w:r>
    </w:p>
    <w:p w14:paraId="1A7305DA" w14:textId="77777777" w:rsidR="00763501" w:rsidRDefault="00763501" w:rsidP="00763501">
      <w:pPr>
        <w:pStyle w:val="ListParagraph"/>
        <w:ind w:left="1980"/>
      </w:pPr>
    </w:p>
    <w:p w14:paraId="544A2BD5" w14:textId="1490AF09" w:rsidR="005931DD" w:rsidRPr="00763501" w:rsidRDefault="005D1D48" w:rsidP="00763501">
      <w:pPr>
        <w:rPr>
          <w:b/>
          <w:bCs/>
        </w:rPr>
      </w:pPr>
      <w:r w:rsidRPr="00763501">
        <w:rPr>
          <w:b/>
          <w:bCs/>
        </w:rPr>
        <w:t>Client Rights</w:t>
      </w:r>
    </w:p>
    <w:p w14:paraId="0BEC7EAB" w14:textId="292B714C" w:rsidR="005D1D48" w:rsidRDefault="005D1D48" w:rsidP="00763501">
      <w:r>
        <w:t>Your rights and responsibilities as participants in Fusion Recovery services are posted in</w:t>
      </w:r>
      <w:r w:rsidR="009840B5">
        <w:t xml:space="preserve"> a central and noticeable location in the clinic. Also, there are </w:t>
      </w:r>
      <w:r w:rsidR="00A97E9B">
        <w:t>postings</w:t>
      </w:r>
      <w:r w:rsidR="00EE3222">
        <w:t xml:space="preserve"> addressing patient concerns or grievances with Fusion Recovery and/OASAS. You have a right to question a policy, voice a concern or grievance with Fusion Recovery</w:t>
      </w:r>
      <w:r w:rsidR="00A97E9B">
        <w:t xml:space="preserve"> and/OASAS . You have a right to receive a timely </w:t>
      </w:r>
      <w:r w:rsidR="00A97E9B">
        <w:lastRenderedPageBreak/>
        <w:t xml:space="preserve">response and/or resolution. You have a right to not suffer any </w:t>
      </w:r>
      <w:r w:rsidR="00AF2899">
        <w:t>adverse consequence or retaliation as a result.</w:t>
      </w:r>
      <w:r w:rsidR="00A97E9B">
        <w:t xml:space="preserve"> </w:t>
      </w:r>
      <w:r w:rsidR="00AF2899">
        <w:t xml:space="preserve">You have a right to communicate with Fusion Recovery’s Clinical </w:t>
      </w:r>
      <w:r w:rsidR="00763501">
        <w:t>Supervisor</w:t>
      </w:r>
      <w:r w:rsidR="00D77AA2">
        <w:t>, Program Director, Chief Executive Officer,</w:t>
      </w:r>
      <w:r w:rsidR="002300D9">
        <w:t xml:space="preserve"> </w:t>
      </w:r>
      <w:r w:rsidR="001C1132">
        <w:t>and Chief</w:t>
      </w:r>
      <w:r w:rsidR="00A92035">
        <w:t xml:space="preserve"> Operations Officer and the Director</w:t>
      </w:r>
      <w:r w:rsidR="002300D9">
        <w:t xml:space="preserve"> of Operations</w:t>
      </w:r>
      <w:r w:rsidR="007B3E97">
        <w:t xml:space="preserve"> of Communications</w:t>
      </w:r>
      <w:r w:rsidR="002300D9">
        <w:t xml:space="preserve"> and/or responsible </w:t>
      </w:r>
      <w:r w:rsidR="00EE29EB">
        <w:t>staff.</w:t>
      </w:r>
      <w:r w:rsidR="00770F40">
        <w:t xml:space="preserve"> You are encouraged to speak with your primary counselor about any concerns </w:t>
      </w:r>
      <w:r w:rsidR="008B1AA4">
        <w:t>to</w:t>
      </w:r>
      <w:r w:rsidR="00770F40">
        <w:t xml:space="preserve"> </w:t>
      </w:r>
      <w:r w:rsidR="008B1AA4">
        <w:t>resolve them. However, if you have done that or you would like to begin the grievances process without first speaking with your primary counselor, you have the right to do so.</w:t>
      </w:r>
    </w:p>
    <w:p w14:paraId="6F0BE7EB" w14:textId="525C3AFD" w:rsidR="00B95125" w:rsidRDefault="00B82607">
      <w:pPr>
        <w:pStyle w:val="ListParagraph"/>
        <w:numPr>
          <w:ilvl w:val="0"/>
          <w:numId w:val="21"/>
        </w:numPr>
      </w:pPr>
      <w:r>
        <w:t xml:space="preserve">Write out the </w:t>
      </w:r>
      <w:r w:rsidR="00682072">
        <w:t>complaint</w:t>
      </w:r>
      <w:r>
        <w:t xml:space="preserve"> on the paper form available from any </w:t>
      </w:r>
      <w:r w:rsidR="00682072">
        <w:t>administrative</w:t>
      </w:r>
      <w:r>
        <w:t xml:space="preserve"> or clinical staff </w:t>
      </w:r>
      <w:r w:rsidR="00682072">
        <w:t xml:space="preserve">member and address it to the Clinical </w:t>
      </w:r>
      <w:r w:rsidR="005F36EF">
        <w:t>Supervisor</w:t>
      </w:r>
      <w:r w:rsidR="00682072">
        <w:t>.</w:t>
      </w:r>
    </w:p>
    <w:p w14:paraId="5B58E950" w14:textId="16EF816F" w:rsidR="00682072" w:rsidRDefault="00682072">
      <w:pPr>
        <w:pStyle w:val="ListParagraph"/>
        <w:numPr>
          <w:ilvl w:val="0"/>
          <w:numId w:val="21"/>
        </w:numPr>
      </w:pPr>
      <w:r>
        <w:t xml:space="preserve">You will receive a response within two business days from the Clinical </w:t>
      </w:r>
      <w:r w:rsidR="005F36EF">
        <w:t>Supervisor</w:t>
      </w:r>
      <w:r>
        <w:t>.</w:t>
      </w:r>
    </w:p>
    <w:p w14:paraId="43C55D31" w14:textId="38D73C87" w:rsidR="00792332" w:rsidRDefault="00792332">
      <w:pPr>
        <w:pStyle w:val="ListParagraph"/>
        <w:numPr>
          <w:ilvl w:val="0"/>
          <w:numId w:val="21"/>
        </w:numPr>
      </w:pPr>
      <w:r>
        <w:t>If you disagree with the response outcome, you can request to meet with the Program Director.</w:t>
      </w:r>
    </w:p>
    <w:p w14:paraId="1EE816ED" w14:textId="28512ED7" w:rsidR="00792332" w:rsidRDefault="00792332">
      <w:pPr>
        <w:pStyle w:val="ListParagraph"/>
        <w:numPr>
          <w:ilvl w:val="0"/>
          <w:numId w:val="21"/>
        </w:numPr>
      </w:pPr>
      <w:r>
        <w:t>If you disagree with the appeal outcome, you can direct your concerns to the Chief O</w:t>
      </w:r>
      <w:r w:rsidR="004A2217">
        <w:t xml:space="preserve">perations Officer or to the OASAS Client Advocacy Services </w:t>
      </w:r>
      <w:r w:rsidR="005F36EF">
        <w:t>at</w:t>
      </w:r>
      <w:r w:rsidR="004A2217">
        <w:t xml:space="preserve"> 1-800-553-5790</w:t>
      </w:r>
      <w:r w:rsidR="005F36EF">
        <w:t>.</w:t>
      </w:r>
    </w:p>
    <w:p w14:paraId="1D9E37EA" w14:textId="582AEC9E" w:rsidR="00B13E1F" w:rsidRDefault="009108CA" w:rsidP="00A2575A">
      <w:r>
        <w:t>OASAS Client Advocacy Services</w:t>
      </w:r>
      <w:r w:rsidR="000C5372">
        <w:t xml:space="preserve"> promotes high quality care in OASAS-certified programs by protecting client rights</w:t>
      </w:r>
      <w:r w:rsidR="009665AD">
        <w:t xml:space="preserve"> and ensuring that services are delivered consistently with regulations and expected standards. Patient Advocacy helps people in treatment</w:t>
      </w:r>
      <w:r w:rsidR="00C207F2">
        <w:t xml:space="preserve">, or their families, by answering questions and addressing problems that cannot be resolved by programs. </w:t>
      </w:r>
      <w:r w:rsidR="00763501">
        <w:t>They</w:t>
      </w:r>
      <w:r w:rsidR="00C207F2">
        <w:t xml:space="preserve"> also advise professionals about issues concerning client rights, treatment services</w:t>
      </w:r>
      <w:r w:rsidR="00763501">
        <w:t>,</w:t>
      </w:r>
      <w:r w:rsidR="00C207F2">
        <w:t xml:space="preserve"> and accepted standards. All OASAS-CERTIFIED PROGRAMS MUST</w:t>
      </w:r>
      <w:r w:rsidR="00713286">
        <w:t xml:space="preserve"> OPERATE IN ACCORD WITH MENTAL HYGIENE LAW AND REGULATIONS, AND OTHER APPLICABLE STATE AND FEDERAL LAW.</w:t>
      </w:r>
      <w:r w:rsidR="00704EB7">
        <w:t xml:space="preserve"> As such, people in treatment have certain rights, and likewise, must fulfill certain responsibilities</w:t>
      </w:r>
      <w:r w:rsidR="005A6C70">
        <w:t xml:space="preserve">. When contacted, </w:t>
      </w:r>
      <w:r w:rsidR="00763501">
        <w:t>advocates</w:t>
      </w:r>
      <w:r w:rsidR="005A6C70">
        <w:t xml:space="preserve"> will address matters quickly and </w:t>
      </w:r>
      <w:r w:rsidR="00677E77">
        <w:t>resolve them</w:t>
      </w:r>
      <w:r w:rsidR="005A6C70">
        <w:t xml:space="preserve"> fairly. Most times, </w:t>
      </w:r>
      <w:r w:rsidR="00677E77">
        <w:t>a phone</w:t>
      </w:r>
      <w:r w:rsidR="005A6C70">
        <w:t xml:space="preserve"> call is </w:t>
      </w:r>
      <w:r w:rsidR="00677E77">
        <w:t>sufficient. No punitive action can be taken against those in treatment for contacting</w:t>
      </w:r>
      <w:r w:rsidR="00763501">
        <w:t xml:space="preserve"> OASAS Patient Advocacy</w:t>
      </w:r>
      <w:r w:rsidR="00677E77">
        <w:t>.</w:t>
      </w:r>
    </w:p>
    <w:p w14:paraId="7A2C87C0" w14:textId="05C84AB0" w:rsidR="00E358C5" w:rsidRDefault="00E358C5" w:rsidP="00A2575A">
      <w:pPr>
        <w:jc w:val="center"/>
      </w:pPr>
      <w:r>
        <w:t>1-800-553-5790</w:t>
      </w:r>
      <w:r w:rsidR="00763501">
        <w:t xml:space="preserve"> (M-F, normal business hours)</w:t>
      </w:r>
    </w:p>
    <w:p w14:paraId="288787DB" w14:textId="27ED8E17" w:rsidR="00A418CA" w:rsidRDefault="00A418CA" w:rsidP="00A2575A">
      <w:r>
        <w:t xml:space="preserve">Although help is provided to anyone, in general, </w:t>
      </w:r>
      <w:r w:rsidR="00763501">
        <w:t>advocates</w:t>
      </w:r>
      <w:r>
        <w:t xml:space="preserve"> will not assess or refer people for treatment, nor provide direct </w:t>
      </w:r>
      <w:r w:rsidR="00084BFE">
        <w:t xml:space="preserve">counseling or services. Referrals can be obtained by calling OASAS </w:t>
      </w:r>
      <w:r w:rsidR="00075308">
        <w:t>HOPEline at 1-877-846-7369. General information is available from OASAS at 518-473-</w:t>
      </w:r>
      <w:r w:rsidR="006B50C8">
        <w:t xml:space="preserve">3460 Please note that this process will not </w:t>
      </w:r>
      <w:r w:rsidR="00C62C5A">
        <w:t>guarantee</w:t>
      </w:r>
      <w:r w:rsidR="006E289F">
        <w:t xml:space="preserve"> that you remain in treatment or are reinstated to treatment</w:t>
      </w:r>
      <w:r w:rsidR="00BB72A9">
        <w:t xml:space="preserve"> if you have already been discharged.</w:t>
      </w:r>
    </w:p>
    <w:p w14:paraId="5180BC8E" w14:textId="77777777" w:rsidR="00763501" w:rsidRDefault="00763501" w:rsidP="00763501">
      <w:pPr>
        <w:rPr>
          <w:b/>
          <w:bCs/>
        </w:rPr>
      </w:pPr>
    </w:p>
    <w:p w14:paraId="18BEAC2C" w14:textId="21E7B7BE" w:rsidR="00B078D8" w:rsidRPr="00763501" w:rsidRDefault="00B01D13" w:rsidP="00763501">
      <w:pPr>
        <w:rPr>
          <w:b/>
          <w:bCs/>
        </w:rPr>
      </w:pPr>
      <w:r w:rsidRPr="00763501">
        <w:rPr>
          <w:b/>
          <w:bCs/>
        </w:rPr>
        <w:t>Non-Discrimination</w:t>
      </w:r>
    </w:p>
    <w:p w14:paraId="7E4EB5F8" w14:textId="476C93B6" w:rsidR="00B01D13" w:rsidRDefault="007C29AF" w:rsidP="00763501">
      <w:r>
        <w:t xml:space="preserve">Fusion Recovery is committed to policies of non-discrimination in all clinical activities and services, including access, </w:t>
      </w:r>
      <w:r w:rsidR="002C2662">
        <w:t>admission,</w:t>
      </w:r>
      <w:r>
        <w:t xml:space="preserve"> and treatment. Our policies of nondiscrimination extend to </w:t>
      </w:r>
      <w:r>
        <w:lastRenderedPageBreak/>
        <w:t>how clients treat our staff</w:t>
      </w:r>
      <w:r w:rsidR="00974399">
        <w:t xml:space="preserve">. If you feel your rights have been violated, you can speak to your primary counselor, clinical </w:t>
      </w:r>
      <w:r w:rsidR="005D6CBC">
        <w:t>director,</w:t>
      </w:r>
      <w:r w:rsidR="00974399">
        <w:t xml:space="preserve"> or program director.</w:t>
      </w:r>
    </w:p>
    <w:p w14:paraId="36C0591D" w14:textId="77777777" w:rsidR="00763501" w:rsidRDefault="00763501" w:rsidP="00763501">
      <w:pPr>
        <w:rPr>
          <w:b/>
          <w:bCs/>
        </w:rPr>
      </w:pPr>
    </w:p>
    <w:p w14:paraId="206BE2E4" w14:textId="61633A4C" w:rsidR="00974399" w:rsidRPr="00763501" w:rsidRDefault="00ED777C" w:rsidP="00763501">
      <w:pPr>
        <w:rPr>
          <w:b/>
          <w:bCs/>
        </w:rPr>
      </w:pPr>
      <w:r w:rsidRPr="00763501">
        <w:rPr>
          <w:b/>
          <w:bCs/>
        </w:rPr>
        <w:t>Laws, Regulations and Rules</w:t>
      </w:r>
    </w:p>
    <w:p w14:paraId="5C39807C" w14:textId="0C278FC5" w:rsidR="00ED777C" w:rsidRDefault="002C2662" w:rsidP="00763501">
      <w:r>
        <w:t>Fusion Recovery must maintain compliance with various Federal and State Laws that prescribe the minimal standards of care and privileges given to the clients who meet certain criteria.</w:t>
      </w:r>
      <w:r w:rsidR="005D6CBC">
        <w:t xml:space="preserve"> Fusion Recovery builds clinic policies</w:t>
      </w:r>
      <w:r w:rsidR="003A57D9">
        <w:t xml:space="preserve"> </w:t>
      </w:r>
      <w:r w:rsidR="006B4464">
        <w:t>and procedures</w:t>
      </w:r>
      <w:r w:rsidR="003A57D9">
        <w:t xml:space="preserve"> on that foundation of minimal standards</w:t>
      </w:r>
      <w:r w:rsidR="00B44197">
        <w:t xml:space="preserve"> in accordance with regulations and rules imposed by agencies including the DEA, OASAS, and</w:t>
      </w:r>
      <w:r w:rsidR="0012729B">
        <w:t xml:space="preserve"> JCHO.</w:t>
      </w:r>
    </w:p>
    <w:p w14:paraId="659E4490" w14:textId="420386A6" w:rsidR="0012729B" w:rsidRDefault="0012729B" w:rsidP="00763501">
      <w:r>
        <w:t xml:space="preserve">Any client wishing to be admitted for treatment must provide consent for treatment and consent for the </w:t>
      </w:r>
      <w:r w:rsidR="006B4464">
        <w:t>appropriate</w:t>
      </w:r>
      <w:r>
        <w:t xml:space="preserve"> client-identifying information to be released to the</w:t>
      </w:r>
      <w:r w:rsidR="00763501">
        <w:t xml:space="preserve"> state agencies</w:t>
      </w:r>
      <w:r>
        <w:t xml:space="preserve"> for the purpose of preventing dual enrollment through </w:t>
      </w:r>
      <w:r w:rsidR="00763501">
        <w:t>C</w:t>
      </w:r>
      <w:r>
        <w:t xml:space="preserve">entral </w:t>
      </w:r>
      <w:r w:rsidR="00763501">
        <w:t>R</w:t>
      </w:r>
      <w:r>
        <w:t>egistry</w:t>
      </w:r>
      <w:r w:rsidR="00763501">
        <w:t xml:space="preserve"> and OASAS</w:t>
      </w:r>
      <w:r>
        <w:t xml:space="preserve">. </w:t>
      </w:r>
      <w:r w:rsidR="006B4464">
        <w:t xml:space="preserve"> You are allowed to decline the releases of your HIV status</w:t>
      </w:r>
      <w:r w:rsidR="00804690">
        <w:t xml:space="preserve"> and your social security number. These consent forms and other important paperwork will be part of your intake appointment.</w:t>
      </w:r>
    </w:p>
    <w:p w14:paraId="61188A82" w14:textId="77777777" w:rsidR="004D670F" w:rsidRDefault="004D670F" w:rsidP="004D670F">
      <w:pPr>
        <w:rPr>
          <w:b/>
          <w:bCs/>
        </w:rPr>
      </w:pPr>
    </w:p>
    <w:p w14:paraId="270BCC52" w14:textId="77777777" w:rsidR="00A2575A" w:rsidRDefault="00A2575A" w:rsidP="00A2575A">
      <w:pPr>
        <w:jc w:val="center"/>
        <w:rPr>
          <w:b/>
          <w:bCs/>
        </w:rPr>
      </w:pPr>
      <w:r>
        <w:rPr>
          <w:b/>
          <w:bCs/>
        </w:rPr>
        <w:t>FUSION RECOVERY TREATMENT PROGRAM CODE OF ETHICS</w:t>
      </w:r>
    </w:p>
    <w:p w14:paraId="0AAA27CE" w14:textId="77777777" w:rsidR="00A2575A" w:rsidRPr="00763501" w:rsidRDefault="00A2575A" w:rsidP="00A2575A">
      <w:pPr>
        <w:rPr>
          <w:b/>
          <w:bCs/>
        </w:rPr>
      </w:pPr>
      <w:r w:rsidRPr="00763501">
        <w:rPr>
          <w:b/>
          <w:bCs/>
        </w:rPr>
        <w:t xml:space="preserve">Counselor </w:t>
      </w:r>
      <w:r>
        <w:rPr>
          <w:b/>
          <w:bCs/>
        </w:rPr>
        <w:t>Conduct</w:t>
      </w:r>
    </w:p>
    <w:p w14:paraId="3CC5BE49" w14:textId="77777777" w:rsidR="00A2575A" w:rsidRPr="008C3CEE" w:rsidRDefault="00A2575A" w:rsidP="00A2575A">
      <w:r>
        <w:t>All clinical staff are held by the Canon of Ethical Principles that relate to their specific licensure and other program staff are held to the Canon of Ethical Principles set by OASAS. Any concerns pertaining to counselor’s conduct should be addressed through the compliant process described under client’s rights.</w:t>
      </w:r>
    </w:p>
    <w:p w14:paraId="0921D60F" w14:textId="77777777" w:rsidR="00A2575A" w:rsidRPr="00181CAF" w:rsidRDefault="00A2575A" w:rsidP="00A2575A">
      <w:pPr>
        <w:rPr>
          <w:b/>
          <w:bCs/>
        </w:rPr>
      </w:pPr>
      <w:r>
        <w:t>All Fusion Recovery Board Members, Employees, Interns, and Volunteers are expected to adhere to the following ethical guidelines:</w:t>
      </w:r>
    </w:p>
    <w:p w14:paraId="721DA143" w14:textId="77777777" w:rsidR="00A2575A" w:rsidRDefault="00A2575A">
      <w:pPr>
        <w:pStyle w:val="ListParagraph"/>
        <w:numPr>
          <w:ilvl w:val="0"/>
          <w:numId w:val="22"/>
        </w:numPr>
      </w:pPr>
      <w:r>
        <w:t>We will protect the confidentiality of clients in accordance with Federal Confidentiality Laws.</w:t>
      </w:r>
    </w:p>
    <w:p w14:paraId="75C080CC" w14:textId="77777777" w:rsidR="00A2575A" w:rsidRDefault="00A2575A">
      <w:pPr>
        <w:pStyle w:val="ListParagraph"/>
        <w:numPr>
          <w:ilvl w:val="0"/>
          <w:numId w:val="22"/>
        </w:numPr>
      </w:pPr>
      <w:r>
        <w:t>We will not discriminate because of race, age, sex, socioeconomic, religion, sexual orientation, national origin, or disability either in rendering service or employment.</w:t>
      </w:r>
    </w:p>
    <w:p w14:paraId="7519FCE1" w14:textId="77777777" w:rsidR="00A2575A" w:rsidRDefault="00A2575A">
      <w:pPr>
        <w:pStyle w:val="ListParagraph"/>
        <w:numPr>
          <w:ilvl w:val="0"/>
          <w:numId w:val="22"/>
        </w:numPr>
      </w:pPr>
      <w:r>
        <w:t>We will provide services and use techniques only when we are qualified by training and experience, and we will only utilize techniques that meet accepted Standards of Practice in the field.</w:t>
      </w:r>
    </w:p>
    <w:p w14:paraId="01073DCD" w14:textId="77777777" w:rsidR="00A2575A" w:rsidRDefault="00A2575A">
      <w:pPr>
        <w:pStyle w:val="ListParagraph"/>
        <w:numPr>
          <w:ilvl w:val="0"/>
          <w:numId w:val="22"/>
        </w:numPr>
      </w:pPr>
      <w:r>
        <w:t>We will maintain a professional relationship with all current and former clients of Fusion Recovery. The development of personal relationships, including intimate or sexual relationships between Fusion Recovery staff and clients, is forbidden.</w:t>
      </w:r>
    </w:p>
    <w:p w14:paraId="0DDA90E8" w14:textId="77777777" w:rsidR="00A2575A" w:rsidRDefault="00A2575A">
      <w:pPr>
        <w:pStyle w:val="ListParagraph"/>
        <w:numPr>
          <w:ilvl w:val="0"/>
          <w:numId w:val="22"/>
        </w:numPr>
      </w:pPr>
      <w:r>
        <w:t>We will obey all civil and criminal laws and refrain from involvement in activities that include fraud, misrepresentation, or immorality.</w:t>
      </w:r>
    </w:p>
    <w:p w14:paraId="14F5C6F0" w14:textId="77777777" w:rsidR="00A2575A" w:rsidRDefault="00A2575A">
      <w:pPr>
        <w:pStyle w:val="ListParagraph"/>
        <w:numPr>
          <w:ilvl w:val="0"/>
          <w:numId w:val="22"/>
        </w:numPr>
      </w:pPr>
      <w:r>
        <w:lastRenderedPageBreak/>
        <w:t>We will make public statements, announcements of services, and advertisements and conduct promotional activities only to serve the purpose of helping the public make informed choices.</w:t>
      </w:r>
    </w:p>
    <w:p w14:paraId="33DD9C13" w14:textId="77777777" w:rsidR="00A2575A" w:rsidRDefault="00A2575A">
      <w:pPr>
        <w:pStyle w:val="ListParagraph"/>
        <w:numPr>
          <w:ilvl w:val="0"/>
          <w:numId w:val="22"/>
        </w:numPr>
      </w:pPr>
      <w:r>
        <w:t>We will protect the welfare and respect the integrity of all clients by providing services in a safe environment and ensuring the client receives all needed information to make informed choices in treatment.</w:t>
      </w:r>
    </w:p>
    <w:p w14:paraId="57B94D8B" w14:textId="77777777" w:rsidR="00A2575A" w:rsidRDefault="00A2575A">
      <w:pPr>
        <w:pStyle w:val="ListParagraph"/>
        <w:numPr>
          <w:ilvl w:val="0"/>
          <w:numId w:val="22"/>
        </w:numPr>
      </w:pPr>
      <w:r>
        <w:t>We will treat co-workers and clients with dignity, courtesy, and respect. Fusion Recovery staff shall be aware of the respect for the traditions and practices of other professional and non-professional groups.</w:t>
      </w:r>
    </w:p>
    <w:p w14:paraId="7AE0BE5F" w14:textId="77777777" w:rsidR="00A2575A" w:rsidRDefault="00A2575A">
      <w:pPr>
        <w:pStyle w:val="ListParagraph"/>
        <w:numPr>
          <w:ilvl w:val="0"/>
          <w:numId w:val="22"/>
        </w:numPr>
      </w:pPr>
      <w:r>
        <w:t>We will not conduct research involving clients without following procedures for review to ensure research is valid and does not compromise client welfare. Clients must give informed consent to participate in research or have their medical records used for research purposes.</w:t>
      </w:r>
    </w:p>
    <w:p w14:paraId="1AF44830" w14:textId="77777777" w:rsidR="00A2575A" w:rsidRDefault="00A2575A">
      <w:pPr>
        <w:pStyle w:val="ListParagraph"/>
        <w:numPr>
          <w:ilvl w:val="0"/>
          <w:numId w:val="22"/>
        </w:numPr>
      </w:pPr>
      <w:r>
        <w:t>We will not accept any personal gifts or favors from any current or former client.</w:t>
      </w:r>
    </w:p>
    <w:p w14:paraId="28820EB7" w14:textId="77777777" w:rsidR="00A2575A" w:rsidRDefault="00A2575A" w:rsidP="00A2575A">
      <w:r w:rsidRPr="00AA715E">
        <w:rPr>
          <w:i/>
          <w:iCs/>
        </w:rPr>
        <w:t>As a consumer of Fusion Recovery, you should understand that all Fusion Recovery employees are expected to follow this Code of Ethics. If you believe that during your treatment an employee has violated any provision of this code, you should immediately report the violation to either the Program Director, or Clinical Director immediately</w:t>
      </w:r>
      <w:r>
        <w:t xml:space="preserve">. </w:t>
      </w:r>
    </w:p>
    <w:p w14:paraId="1BDDE6D7" w14:textId="1D59751C" w:rsidR="00B936F1" w:rsidRPr="004D670F" w:rsidRDefault="009619D4" w:rsidP="004D670F">
      <w:pPr>
        <w:rPr>
          <w:b/>
          <w:bCs/>
        </w:rPr>
      </w:pPr>
      <w:r w:rsidRPr="004D670F">
        <w:rPr>
          <w:b/>
          <w:bCs/>
        </w:rPr>
        <w:t xml:space="preserve">Grounds for </w:t>
      </w:r>
      <w:r w:rsidR="004D670F">
        <w:rPr>
          <w:b/>
          <w:bCs/>
        </w:rPr>
        <w:t>D</w:t>
      </w:r>
      <w:r w:rsidRPr="004D670F">
        <w:rPr>
          <w:b/>
          <w:bCs/>
        </w:rPr>
        <w:t>ismissal from Fusion Recovery/</w:t>
      </w:r>
      <w:r w:rsidR="004D670F">
        <w:rPr>
          <w:b/>
          <w:bCs/>
        </w:rPr>
        <w:t>Administrative</w:t>
      </w:r>
      <w:r w:rsidRPr="004D670F">
        <w:rPr>
          <w:b/>
          <w:bCs/>
        </w:rPr>
        <w:t xml:space="preserve"> Discharge</w:t>
      </w:r>
    </w:p>
    <w:p w14:paraId="58A2144B" w14:textId="39E6F2DD" w:rsidR="00F55974" w:rsidRDefault="004D670F" w:rsidP="004D670F">
      <w:r>
        <w:t>Clients are expected</w:t>
      </w:r>
      <w:r w:rsidR="00B1095A">
        <w:t xml:space="preserve"> understand and comply with </w:t>
      </w:r>
      <w:r>
        <w:t xml:space="preserve">the policies of the </w:t>
      </w:r>
      <w:r w:rsidR="00B1095A">
        <w:t>Fusion Recovery</w:t>
      </w:r>
      <w:r w:rsidR="00566703">
        <w:t xml:space="preserve"> </w:t>
      </w:r>
      <w:r>
        <w:t>Outpatient</w:t>
      </w:r>
      <w:r w:rsidR="00566703">
        <w:t xml:space="preserve"> Program</w:t>
      </w:r>
      <w:r w:rsidR="001B0408">
        <w:t xml:space="preserve"> in order to have a safe therapeutic environment for clients as well as to provide a safe workplace for staff/visitors</w:t>
      </w:r>
      <w:r w:rsidR="00566703">
        <w:t xml:space="preserve">. Failure to abide by program policies may result in clinical intervention </w:t>
      </w:r>
      <w:r>
        <w:t>which can</w:t>
      </w:r>
      <w:r w:rsidR="00566703">
        <w:t xml:space="preserve"> include </w:t>
      </w:r>
      <w:r w:rsidR="005F36EF">
        <w:t xml:space="preserve">administrative </w:t>
      </w:r>
      <w:r w:rsidR="00566703">
        <w:t>discharge from treatment</w:t>
      </w:r>
      <w:r w:rsidR="005F36EF">
        <w:t xml:space="preserve"> that may include include a taper from prescribed MAT medications</w:t>
      </w:r>
      <w:r w:rsidR="00566703">
        <w:t>. If you are involuntarily discharged</w:t>
      </w:r>
      <w:r w:rsidR="005F36EF">
        <w:t xml:space="preserve"> on MAT medications</w:t>
      </w:r>
      <w:r w:rsidR="00566703">
        <w:t>, the tapering process shall be conducted in a humane manner as determined by the Medical Director, and referrals shall be made to other medical detox units</w:t>
      </w:r>
      <w:r w:rsidR="0084323D">
        <w:t xml:space="preserve"> and/ or MAT treatment programs. An </w:t>
      </w:r>
      <w:r>
        <w:t>administrative discharge</w:t>
      </w:r>
      <w:r w:rsidR="0084323D">
        <w:t xml:space="preserve"> may be initiated under the following situations</w:t>
      </w:r>
      <w:r>
        <w:t>:</w:t>
      </w:r>
    </w:p>
    <w:p w14:paraId="60E66735" w14:textId="1D3104DB" w:rsidR="009619D4" w:rsidRDefault="00F55974">
      <w:pPr>
        <w:pStyle w:val="ListParagraph"/>
        <w:numPr>
          <w:ilvl w:val="0"/>
          <w:numId w:val="19"/>
        </w:numPr>
      </w:pPr>
      <w:r>
        <w:t xml:space="preserve">Recommendation for discharge for </w:t>
      </w:r>
      <w:r w:rsidR="004D670F">
        <w:t xml:space="preserve">consistent </w:t>
      </w:r>
      <w:r>
        <w:t xml:space="preserve">non-compliance </w:t>
      </w:r>
      <w:r w:rsidR="004D670F">
        <w:t>or violations</w:t>
      </w:r>
      <w:r>
        <w:t xml:space="preserve"> of program policies </w:t>
      </w:r>
      <w:r w:rsidR="004D670F">
        <w:t>by the treatment team.</w:t>
      </w:r>
    </w:p>
    <w:p w14:paraId="3BC6EA8D" w14:textId="614C6A3A" w:rsidR="004D670F" w:rsidRDefault="004D670F">
      <w:pPr>
        <w:pStyle w:val="ListParagraph"/>
        <w:numPr>
          <w:ilvl w:val="0"/>
          <w:numId w:val="19"/>
        </w:numPr>
      </w:pPr>
      <w:r>
        <w:t>Violations of program policies regarding violence against other clients or staff; criminal acts committed on property against Fusion Recovery property, staff, or other clients.</w:t>
      </w:r>
      <w:r w:rsidR="001B0408">
        <w:t xml:space="preserve"> Crimes or acts of violence committed on property may also result in law enforcement involvement/notification.</w:t>
      </w:r>
    </w:p>
    <w:p w14:paraId="6DFA10F2" w14:textId="45A63925" w:rsidR="001B0408" w:rsidRDefault="001B0408">
      <w:pPr>
        <w:pStyle w:val="ListParagraph"/>
        <w:numPr>
          <w:ilvl w:val="0"/>
          <w:numId w:val="19"/>
        </w:numPr>
      </w:pPr>
      <w:r>
        <w:t>Bringing weapons of any kind onto program property as they are not permitted under any circumstances.</w:t>
      </w:r>
    </w:p>
    <w:p w14:paraId="0A63F0F3" w14:textId="336EDD78" w:rsidR="001B0408" w:rsidRDefault="001B0408">
      <w:pPr>
        <w:pStyle w:val="ListParagraph"/>
        <w:numPr>
          <w:ilvl w:val="0"/>
          <w:numId w:val="19"/>
        </w:numPr>
      </w:pPr>
      <w:r>
        <w:t>Making threats of violence against other clients or staff, communicated to staff or other clients (blatant or implied).</w:t>
      </w:r>
    </w:p>
    <w:p w14:paraId="25576EB1" w14:textId="37716CB1" w:rsidR="001B0408" w:rsidRDefault="001B0408">
      <w:pPr>
        <w:pStyle w:val="ListParagraph"/>
        <w:numPr>
          <w:ilvl w:val="0"/>
          <w:numId w:val="19"/>
        </w:numPr>
      </w:pPr>
      <w:r>
        <w:lastRenderedPageBreak/>
        <w:t xml:space="preserve">Repeated violations of the confidentiality policies regarding other clients. </w:t>
      </w:r>
    </w:p>
    <w:p w14:paraId="2747BB53" w14:textId="22ED016B" w:rsidR="001B0408" w:rsidRDefault="001B0408">
      <w:pPr>
        <w:pStyle w:val="ListParagraph"/>
        <w:numPr>
          <w:ilvl w:val="0"/>
          <w:numId w:val="19"/>
        </w:numPr>
      </w:pPr>
      <w:r>
        <w:t xml:space="preserve">Harassment of other clients or staff.  </w:t>
      </w:r>
    </w:p>
    <w:p w14:paraId="5E001499" w14:textId="3D2EC8C8" w:rsidR="001B0408" w:rsidRDefault="001B0408">
      <w:pPr>
        <w:pStyle w:val="ListParagraph"/>
        <w:numPr>
          <w:ilvl w:val="0"/>
          <w:numId w:val="19"/>
        </w:numPr>
      </w:pPr>
      <w:r>
        <w:t xml:space="preserve">Repeated violations of the program policies surrounding loitering.  </w:t>
      </w:r>
    </w:p>
    <w:p w14:paraId="78F2E12F" w14:textId="135A6245" w:rsidR="00CA019F" w:rsidRDefault="00CA019F">
      <w:pPr>
        <w:pStyle w:val="ListParagraph"/>
        <w:numPr>
          <w:ilvl w:val="0"/>
          <w:numId w:val="19"/>
        </w:numPr>
      </w:pPr>
      <w:r>
        <w:t>Failure to fulfil financial obligations to the program after repeated intervention attempts to rectify the issue.</w:t>
      </w:r>
    </w:p>
    <w:p w14:paraId="0F42D7AC" w14:textId="2BD9CB64" w:rsidR="009B0B23" w:rsidRDefault="004D670F">
      <w:pPr>
        <w:pStyle w:val="ListParagraph"/>
        <w:numPr>
          <w:ilvl w:val="0"/>
          <w:numId w:val="19"/>
        </w:numPr>
      </w:pPr>
      <w:r>
        <w:t xml:space="preserve">Administrative discharge </w:t>
      </w:r>
      <w:r w:rsidR="009B0B23">
        <w:t>recommendation upheld through appeal process</w:t>
      </w:r>
      <w:r>
        <w:t xml:space="preserve"> that includes a meeting with the treatment team</w:t>
      </w:r>
      <w:r w:rsidR="009B0B23">
        <w:t>.</w:t>
      </w:r>
    </w:p>
    <w:p w14:paraId="57B59888" w14:textId="2D208219" w:rsidR="009B0B23" w:rsidRDefault="009B0B23">
      <w:pPr>
        <w:pStyle w:val="ListParagraph"/>
        <w:numPr>
          <w:ilvl w:val="0"/>
          <w:numId w:val="19"/>
        </w:numPr>
      </w:pPr>
      <w:r>
        <w:t>The Medical Director deemed it medically dangerous/unsafe to continue ordering medication for you</w:t>
      </w:r>
      <w:r w:rsidR="004D670F">
        <w:t xml:space="preserve"> based on documented medical concerns or behavioral issues</w:t>
      </w:r>
      <w:r>
        <w:t>.</w:t>
      </w:r>
    </w:p>
    <w:p w14:paraId="6B1F24C7" w14:textId="2F7B7E56" w:rsidR="004D670F" w:rsidRDefault="004D670F" w:rsidP="004D670F">
      <w:pPr>
        <w:pStyle w:val="ListParagraph"/>
      </w:pPr>
    </w:p>
    <w:p w14:paraId="230485C9" w14:textId="7009E97D" w:rsidR="00C97653" w:rsidRDefault="00B671AD" w:rsidP="004D670F">
      <w:r>
        <w:t>Cl</w:t>
      </w:r>
      <w:r w:rsidR="00992EF0">
        <w:t xml:space="preserve">ients subject to involuntary discharge will meet with </w:t>
      </w:r>
      <w:r w:rsidR="00F67A04">
        <w:t xml:space="preserve">the </w:t>
      </w:r>
      <w:r w:rsidR="005F36EF">
        <w:t>Clinical Supervisor</w:t>
      </w:r>
      <w:r w:rsidR="00F67A04">
        <w:t xml:space="preserve"> who will discuss with them a written notice of possible </w:t>
      </w:r>
      <w:r w:rsidR="00A33537">
        <w:t xml:space="preserve">discharge </w:t>
      </w:r>
      <w:r w:rsidR="00F67A04">
        <w:t>(Discharge Notice Before Appeal) that has been approved by the</w:t>
      </w:r>
      <w:r w:rsidR="00A33537">
        <w:t xml:space="preserve"> treatment team</w:t>
      </w:r>
      <w:r w:rsidR="00F67A04">
        <w:t xml:space="preserve">. The notice will contain the reasons for </w:t>
      </w:r>
      <w:r w:rsidR="00A33537">
        <w:t>discharge</w:t>
      </w:r>
      <w:r w:rsidR="00F67A04">
        <w:t xml:space="preserve"> and directions for requesting a</w:t>
      </w:r>
      <w:r w:rsidR="00A33537">
        <w:t>n appeal</w:t>
      </w:r>
      <w:r w:rsidR="00F67A04">
        <w:t xml:space="preserve">, which is their right, with the </w:t>
      </w:r>
      <w:r w:rsidR="00A33537">
        <w:t>treatment team</w:t>
      </w:r>
      <w:r w:rsidR="00F67A04">
        <w:t xml:space="preserve"> within 48 </w:t>
      </w:r>
      <w:r w:rsidR="00AF7CDD">
        <w:t>hours</w:t>
      </w:r>
      <w:r w:rsidR="00F67A04">
        <w:t xml:space="preserve"> of receiving the notice.</w:t>
      </w:r>
      <w:r w:rsidR="00AF7CDD">
        <w:t xml:space="preserve"> This appointment will be secured and documented on the notice; and the client will receive a copy of </w:t>
      </w:r>
      <w:r w:rsidR="00FD7677">
        <w:t>the notice</w:t>
      </w:r>
      <w:r w:rsidR="00AF7CDD">
        <w:t xml:space="preserve"> before leaving the meeting</w:t>
      </w:r>
      <w:r w:rsidR="00FD7677">
        <w:t>.</w:t>
      </w:r>
      <w:r w:rsidR="00AF7CDD">
        <w:t xml:space="preserve"> </w:t>
      </w:r>
    </w:p>
    <w:p w14:paraId="4154B72B" w14:textId="48A2F707" w:rsidR="00DB0B75" w:rsidRDefault="00A2575A" w:rsidP="004D670F">
      <w:r>
        <w:t>These f</w:t>
      </w:r>
      <w:r w:rsidR="00DB0B75">
        <w:t xml:space="preserve">undamental </w:t>
      </w:r>
      <w:r>
        <w:t>r</w:t>
      </w:r>
      <w:r w:rsidR="00DB0B75">
        <w:t>ules</w:t>
      </w:r>
      <w:r>
        <w:t xml:space="preserve"> of the Fusion Recovery outpatient</w:t>
      </w:r>
      <w:r w:rsidR="00911FE8">
        <w:t xml:space="preserve"> a</w:t>
      </w:r>
      <w:r>
        <w:t xml:space="preserve">re </w:t>
      </w:r>
      <w:r w:rsidR="00911FE8">
        <w:t xml:space="preserve">a means of meeting the responsibility for providing a safe </w:t>
      </w:r>
      <w:r w:rsidR="005F46A2">
        <w:t>workplace</w:t>
      </w:r>
      <w:r w:rsidR="00911FE8">
        <w:t xml:space="preserve"> for staff and visitors, as well as a </w:t>
      </w:r>
      <w:r w:rsidR="005F46A2">
        <w:t>therapeutic environment</w:t>
      </w:r>
      <w:r w:rsidR="00D75447">
        <w:t xml:space="preserve"> for clients.</w:t>
      </w:r>
      <w:r w:rsidR="00CE18E7">
        <w:t xml:space="preserve"> </w:t>
      </w:r>
      <w:r w:rsidR="00171FBD">
        <w:t>In the event a violation occurs, staff will take immediate action to secure the safety of staff and other clients</w:t>
      </w:r>
      <w:r w:rsidR="005F46A2">
        <w:t xml:space="preserve"> (i.e., security escort, designed dosing times, etc.)</w:t>
      </w:r>
      <w:r w:rsidR="00805E40">
        <w:t xml:space="preserve"> and towards discharge of the client(s)</w:t>
      </w:r>
      <w:r>
        <w:t xml:space="preserve"> responsible for the incident</w:t>
      </w:r>
      <w:r w:rsidR="00805E40">
        <w:t xml:space="preserve">. </w:t>
      </w:r>
      <w:r>
        <w:t>Appeal may be denied</w:t>
      </w:r>
      <w:r w:rsidR="00702672">
        <w:t xml:space="preserve"> for any Fundamental Rule violation that results in immediate discharge</w:t>
      </w:r>
      <w:r>
        <w:t xml:space="preserve"> to protect the safety of staff or other clients, which would be detailed in the discharge notice provided to the client</w:t>
      </w:r>
      <w:r w:rsidR="00702672">
        <w:t>.</w:t>
      </w:r>
    </w:p>
    <w:p w14:paraId="30088903" w14:textId="263EEC4A" w:rsidR="00150BD0" w:rsidRDefault="00150BD0" w:rsidP="00D519CE">
      <w:pPr>
        <w:ind w:left="1320"/>
        <w:rPr>
          <w:b/>
          <w:bCs/>
        </w:rPr>
      </w:pPr>
    </w:p>
    <w:p w14:paraId="06C9AFC2" w14:textId="77777777" w:rsidR="00C853E9" w:rsidRDefault="00C853E9" w:rsidP="00414644">
      <w:pPr>
        <w:ind w:left="1260"/>
      </w:pPr>
    </w:p>
    <w:p w14:paraId="77FE3C40" w14:textId="77777777" w:rsidR="00C853E9" w:rsidRDefault="00C853E9" w:rsidP="00414644">
      <w:pPr>
        <w:ind w:left="1260"/>
      </w:pPr>
    </w:p>
    <w:p w14:paraId="7758FC66" w14:textId="77777777" w:rsidR="00C853E9" w:rsidRDefault="00C853E9" w:rsidP="00414644">
      <w:pPr>
        <w:ind w:left="1260"/>
      </w:pPr>
    </w:p>
    <w:p w14:paraId="11DDD992" w14:textId="77777777" w:rsidR="00C853E9" w:rsidRDefault="00C853E9" w:rsidP="00414644">
      <w:pPr>
        <w:ind w:left="1260"/>
      </w:pPr>
    </w:p>
    <w:p w14:paraId="531D7B51" w14:textId="77777777" w:rsidR="00C853E9" w:rsidRDefault="00C853E9" w:rsidP="00414644">
      <w:pPr>
        <w:ind w:left="1260"/>
      </w:pPr>
    </w:p>
    <w:p w14:paraId="6ACEC127" w14:textId="77777777" w:rsidR="00087B1F" w:rsidRDefault="00087B1F" w:rsidP="00414644">
      <w:pPr>
        <w:ind w:left="1260"/>
      </w:pPr>
    </w:p>
    <w:p w14:paraId="3B354216" w14:textId="77777777" w:rsidR="00087B1F" w:rsidRDefault="00087B1F" w:rsidP="00414644">
      <w:pPr>
        <w:ind w:left="1260"/>
      </w:pPr>
    </w:p>
    <w:p w14:paraId="61A8A4D6" w14:textId="77777777" w:rsidR="00087B1F" w:rsidRDefault="00087B1F" w:rsidP="00414644">
      <w:pPr>
        <w:ind w:left="1260"/>
      </w:pPr>
    </w:p>
    <w:p w14:paraId="2F9CAB42" w14:textId="77777777" w:rsidR="00087B1F" w:rsidRDefault="00087B1F" w:rsidP="00414644">
      <w:pPr>
        <w:ind w:left="1260"/>
      </w:pPr>
    </w:p>
    <w:p w14:paraId="73E92DA8" w14:textId="77777777" w:rsidR="00087B1F" w:rsidRDefault="00087B1F" w:rsidP="00414644">
      <w:pPr>
        <w:ind w:left="1260"/>
      </w:pPr>
    </w:p>
    <w:p w14:paraId="777BF288" w14:textId="77777777" w:rsidR="00C853E9" w:rsidRDefault="00C853E9" w:rsidP="00414644">
      <w:pPr>
        <w:ind w:left="1260"/>
      </w:pPr>
    </w:p>
    <w:p w14:paraId="482FEDAA" w14:textId="77777777" w:rsidR="00C853E9" w:rsidRDefault="00C853E9" w:rsidP="00414644">
      <w:pPr>
        <w:ind w:left="1260"/>
      </w:pPr>
    </w:p>
    <w:p w14:paraId="0DEFF93F" w14:textId="77777777" w:rsidR="00C853E9" w:rsidRDefault="00C853E9" w:rsidP="00414644">
      <w:pPr>
        <w:ind w:left="1260"/>
      </w:pPr>
    </w:p>
    <w:p w14:paraId="5DEF4ADC" w14:textId="77777777" w:rsidR="00087B1F" w:rsidRDefault="00087B1F" w:rsidP="00414644">
      <w:pPr>
        <w:ind w:left="1260"/>
      </w:pPr>
    </w:p>
    <w:p w14:paraId="6BB0AAF8" w14:textId="77777777" w:rsidR="00087B1F" w:rsidRDefault="00087B1F" w:rsidP="00414644">
      <w:pPr>
        <w:ind w:left="1260"/>
      </w:pPr>
    </w:p>
    <w:p w14:paraId="0801D4D6" w14:textId="77777777" w:rsidR="00087B1F" w:rsidRDefault="00087B1F" w:rsidP="00414644">
      <w:pPr>
        <w:ind w:left="1260"/>
      </w:pPr>
    </w:p>
    <w:p w14:paraId="7C498AAC" w14:textId="77777777" w:rsidR="00087B1F" w:rsidRDefault="00087B1F" w:rsidP="00414644">
      <w:pPr>
        <w:ind w:left="1260"/>
      </w:pPr>
    </w:p>
    <w:p w14:paraId="122E21B1" w14:textId="77777777" w:rsidR="00DE260C" w:rsidRDefault="00DE260C" w:rsidP="00414644">
      <w:pPr>
        <w:ind w:left="1260"/>
      </w:pPr>
    </w:p>
    <w:p w14:paraId="7BCCB253" w14:textId="77777777" w:rsidR="004744C9" w:rsidRDefault="004744C9" w:rsidP="00087B1F">
      <w:pPr>
        <w:jc w:val="center"/>
      </w:pPr>
    </w:p>
    <w:p w14:paraId="542ED932" w14:textId="79407943" w:rsidR="004744C9" w:rsidRPr="00AC1159" w:rsidRDefault="004744C9" w:rsidP="00AC1159">
      <w:pPr>
        <w:jc w:val="center"/>
        <w:rPr>
          <w:b/>
          <w:bCs/>
        </w:rPr>
      </w:pPr>
      <w:r>
        <w:rPr>
          <w:b/>
          <w:bCs/>
        </w:rPr>
        <w:t>OPIOID TREATMENT PROGRAM (OTP)</w:t>
      </w:r>
    </w:p>
    <w:p w14:paraId="01BE36C0" w14:textId="698C190A" w:rsidR="004744C9" w:rsidRPr="00AC1159" w:rsidRDefault="004744C9" w:rsidP="004744C9">
      <w:pPr>
        <w:pStyle w:val="ListNumber"/>
        <w:numPr>
          <w:ilvl w:val="0"/>
          <w:numId w:val="0"/>
        </w:numPr>
        <w:rPr>
          <w:color w:val="auto"/>
        </w:rPr>
      </w:pPr>
      <w:r w:rsidRPr="00AC1159">
        <w:rPr>
          <w:b/>
          <w:bCs/>
          <w:color w:val="auto"/>
        </w:rPr>
        <w:t>Medication-Assisted Treatment (MAT</w:t>
      </w:r>
      <w:r w:rsidR="00AC1159">
        <w:rPr>
          <w:b/>
          <w:bCs/>
          <w:color w:val="auto"/>
        </w:rPr>
        <w:t>)</w:t>
      </w:r>
      <w:r w:rsidRPr="00AC1159">
        <w:rPr>
          <w:color w:val="auto"/>
        </w:rPr>
        <w:t xml:space="preserve"> is the use of medications, in combination with counseling and evidence based behavioral therapies, to provide a wholistic client-centered approach to the treatment of substance use disorders. Research shows that in the treatment of substance use disorders a combination of medication and evidenced based behavioral therapies is most successful. MAT is clinically driven with a focus on individualized client care. MAT is safe and considered the best practice in the treatment of many clients including pregnant women.</w:t>
      </w:r>
    </w:p>
    <w:p w14:paraId="2EC0ED92" w14:textId="1E735138" w:rsidR="004744C9" w:rsidRPr="00AC1159" w:rsidRDefault="004744C9" w:rsidP="004744C9">
      <w:pPr>
        <w:pStyle w:val="ListNumber"/>
        <w:numPr>
          <w:ilvl w:val="0"/>
          <w:numId w:val="0"/>
        </w:numPr>
        <w:rPr>
          <w:color w:val="auto"/>
        </w:rPr>
      </w:pPr>
      <w:r w:rsidRPr="00AC1159">
        <w:rPr>
          <w:color w:val="auto"/>
        </w:rPr>
        <w:t xml:space="preserve">Clients will be started at a lower dose that is deemed medically appropriate at time of induction on that medication and it can take up to two weeks before the effect of that dosage is realized in terms of its reduction of withdrawal or craving symptoms. </w:t>
      </w:r>
      <w:r w:rsidR="00890DE8" w:rsidRPr="00AC1159">
        <w:rPr>
          <w:color w:val="auto"/>
        </w:rPr>
        <w:t xml:space="preserve">Our program medical providers will assist you in determining what the most appropriate medication is based on you substance use and medical history as well as work with you to adjust its dosage until you reach a level that is comfortable for you that best manages your symptoms. Detailed information on each of the program’s offered MAT options are provided later in this handbook. </w:t>
      </w:r>
    </w:p>
    <w:p w14:paraId="46C99424" w14:textId="77777777" w:rsidR="00890DE8" w:rsidRDefault="00890DE8" w:rsidP="004744C9">
      <w:pPr>
        <w:pStyle w:val="ListNumber"/>
        <w:numPr>
          <w:ilvl w:val="0"/>
          <w:numId w:val="0"/>
        </w:numPr>
      </w:pPr>
    </w:p>
    <w:p w14:paraId="00596DE7" w14:textId="77777777" w:rsidR="00890DE8" w:rsidRDefault="00890DE8" w:rsidP="00890DE8">
      <w:pPr>
        <w:jc w:val="center"/>
        <w:rPr>
          <w:b/>
          <w:bCs/>
        </w:rPr>
      </w:pPr>
      <w:r>
        <w:rPr>
          <w:b/>
          <w:bCs/>
        </w:rPr>
        <w:t>OTP PROGRAM RULES</w:t>
      </w:r>
    </w:p>
    <w:p w14:paraId="01D9E6A7" w14:textId="0F8D8CE8" w:rsidR="00890DE8" w:rsidRDefault="00890DE8" w:rsidP="00890DE8">
      <w:r>
        <w:t>These rules and polices apply to all clients engaged in any form of medication-assisted treatment as part of the Opioid Treatment Program in addition to the other program rules previously stated since they specifically involve policies surrounding medications.</w:t>
      </w:r>
    </w:p>
    <w:p w14:paraId="496F2CF7" w14:textId="0DF697A4" w:rsidR="009C59B1" w:rsidRDefault="009C59B1" w:rsidP="00890DE8">
      <w:pPr>
        <w:rPr>
          <w:b/>
          <w:bCs/>
        </w:rPr>
      </w:pPr>
      <w:r>
        <w:rPr>
          <w:b/>
          <w:bCs/>
        </w:rPr>
        <w:t>Methadone Dispensary Rules</w:t>
      </w:r>
    </w:p>
    <w:p w14:paraId="712EF168" w14:textId="646CEB8C" w:rsidR="00D3729F" w:rsidRPr="00D3729F" w:rsidRDefault="00D3729F">
      <w:pPr>
        <w:pStyle w:val="ListParagraph"/>
        <w:numPr>
          <w:ilvl w:val="0"/>
          <w:numId w:val="24"/>
        </w:numPr>
        <w:rPr>
          <w:b/>
          <w:bCs/>
        </w:rPr>
      </w:pPr>
      <w:r>
        <w:t>You cannot enter the dispensary until you are accompanied by a program staff member.</w:t>
      </w:r>
    </w:p>
    <w:p w14:paraId="2FC207A9" w14:textId="1FA0A6E2" w:rsidR="009C59B1" w:rsidRPr="00D3729F" w:rsidRDefault="009C59B1">
      <w:pPr>
        <w:pStyle w:val="ListParagraph"/>
        <w:numPr>
          <w:ilvl w:val="0"/>
          <w:numId w:val="24"/>
        </w:numPr>
        <w:rPr>
          <w:b/>
          <w:bCs/>
        </w:rPr>
      </w:pPr>
      <w:r>
        <w:lastRenderedPageBreak/>
        <w:t xml:space="preserve">No food or drink </w:t>
      </w:r>
      <w:r w:rsidR="00D3729F">
        <w:t>allowed in the dispensary (including gum)</w:t>
      </w:r>
    </w:p>
    <w:p w14:paraId="06994B61" w14:textId="6599C391" w:rsidR="00D3729F" w:rsidRPr="00D3729F" w:rsidRDefault="00D3729F">
      <w:pPr>
        <w:pStyle w:val="ListParagraph"/>
        <w:numPr>
          <w:ilvl w:val="0"/>
          <w:numId w:val="24"/>
        </w:numPr>
        <w:rPr>
          <w:b/>
          <w:bCs/>
        </w:rPr>
      </w:pPr>
      <w:r>
        <w:t>Please remove any sunglasses, hat/head coverings, or other items that would prevent the nursing staff from being able to identify you.</w:t>
      </w:r>
    </w:p>
    <w:p w14:paraId="62957EE3" w14:textId="1AB7D702" w:rsidR="00D3729F" w:rsidRPr="00D3729F" w:rsidRDefault="00D3729F">
      <w:pPr>
        <w:pStyle w:val="ListParagraph"/>
        <w:numPr>
          <w:ilvl w:val="0"/>
          <w:numId w:val="24"/>
        </w:numPr>
        <w:rPr>
          <w:b/>
          <w:bCs/>
        </w:rPr>
      </w:pPr>
      <w:r>
        <w:t>All bags, backpacks, or other such items must be left outside of the dispensary.  Program staff cannot hold these for you, but will direct you to a safe location to place this while you are in the dispensary.</w:t>
      </w:r>
    </w:p>
    <w:p w14:paraId="7C8C8CC8" w14:textId="512A23DD" w:rsidR="00D3729F" w:rsidRPr="009C59B1" w:rsidRDefault="00D3729F">
      <w:pPr>
        <w:pStyle w:val="ListParagraph"/>
        <w:numPr>
          <w:ilvl w:val="0"/>
          <w:numId w:val="24"/>
        </w:numPr>
        <w:rPr>
          <w:b/>
          <w:bCs/>
        </w:rPr>
      </w:pPr>
      <w:r>
        <w:t>Please have your ID out and ready to present at the dosing window so that you can be verified by nursing staff.  If you do not have an ID, you will need to be verified by a program staff member before you are allowed into the dispensary.</w:t>
      </w:r>
    </w:p>
    <w:p w14:paraId="1C8FB7FE" w14:textId="77777777" w:rsidR="004055E2" w:rsidRDefault="004055E2" w:rsidP="004055E2">
      <w:pPr>
        <w:rPr>
          <w:b/>
          <w:bCs/>
        </w:rPr>
      </w:pPr>
      <w:r w:rsidRPr="004055E2">
        <w:rPr>
          <w:b/>
          <w:bCs/>
        </w:rPr>
        <w:t>Nausea/Sickness</w:t>
      </w:r>
    </w:p>
    <w:p w14:paraId="4BDD2799" w14:textId="4F296C6B" w:rsidR="004055E2" w:rsidRPr="004055E2" w:rsidRDefault="004055E2" w:rsidP="004055E2">
      <w:pPr>
        <w:rPr>
          <w:b/>
          <w:bCs/>
        </w:rPr>
      </w:pPr>
      <w:r>
        <w:t>If you feel nauseated (sick to your stomach) before or after ingesting your medication, notify a nurse and remain in the clinic for at least 30 minutes. If you vomit in the clinic, do not dispose of the vomit because federal law requires a nursing staff member to view it and clean it up. There is no guarantee that a client will be re-dosed after vomiting. Due to federal and state regulations, we may not be able to replace a vomited dose; however, doses vomited in the clinic, and in the presence of a staff member, may be replaced with a medical provider ‘s approval. Doses vomited outside the clinic, or at home, cannot be replaced, however it is still important to notify the nurses if this happens.</w:t>
      </w:r>
      <w:r w:rsidRPr="004055E2">
        <w:rPr>
          <w:b/>
          <w:bCs/>
        </w:rPr>
        <w:t xml:space="preserve">  </w:t>
      </w:r>
    </w:p>
    <w:p w14:paraId="22731C78" w14:textId="77777777" w:rsidR="009C59B1" w:rsidRDefault="009C59B1" w:rsidP="009C59B1">
      <w:pPr>
        <w:spacing w:before="0" w:after="160" w:line="278" w:lineRule="auto"/>
      </w:pPr>
    </w:p>
    <w:p w14:paraId="2D722AAE" w14:textId="77777777" w:rsidR="009C59B1" w:rsidRDefault="009C59B1" w:rsidP="009C59B1">
      <w:pPr>
        <w:pStyle w:val="ListNumber"/>
        <w:numPr>
          <w:ilvl w:val="0"/>
          <w:numId w:val="0"/>
        </w:numPr>
        <w:rPr>
          <w:b/>
          <w:bCs/>
          <w:color w:val="auto"/>
        </w:rPr>
      </w:pPr>
      <w:r w:rsidRPr="00197F0B">
        <w:rPr>
          <w:b/>
          <w:bCs/>
          <w:color w:val="auto"/>
        </w:rPr>
        <w:t>Assigned Time Slots</w:t>
      </w:r>
    </w:p>
    <w:p w14:paraId="349064CE" w14:textId="099029D4" w:rsidR="004D7CB6" w:rsidRDefault="009C59B1" w:rsidP="004D7CB6">
      <w:pPr>
        <w:pStyle w:val="ListNumber"/>
        <w:numPr>
          <w:ilvl w:val="0"/>
          <w:numId w:val="0"/>
        </w:numPr>
        <w:rPr>
          <w:color w:val="auto"/>
        </w:rPr>
      </w:pPr>
      <w:r>
        <w:rPr>
          <w:color w:val="auto"/>
        </w:rPr>
        <w:t xml:space="preserve">A Dosing Schedule Agreement will be developed </w:t>
      </w:r>
      <w:r w:rsidR="00D3729F">
        <w:rPr>
          <w:color w:val="auto"/>
        </w:rPr>
        <w:t>on intake</w:t>
      </w:r>
      <w:r>
        <w:rPr>
          <w:color w:val="auto"/>
        </w:rPr>
        <w:t xml:space="preserve"> for your scheduled time slot to include dosing times and services. Time slotting keeps congestion to a minimum, especially during times when bottles need to be changed more frequently or holiday doses are being given or we are experiencing the effects of a weather emergency. You are expected to make your primary counselor aware of your need for an exception well in advance of the event; or, in the event of an emergency, notify counselor of the day.</w:t>
      </w:r>
      <w:r w:rsidR="004D7CB6">
        <w:rPr>
          <w:color w:val="auto"/>
        </w:rPr>
        <w:t xml:space="preserve">  Clients will not be permitted to the clinic earlier than their scheduled time slot; clients who consistently arrive late for their time slot may be reassigned to a different slot and/or counselor, according to demonstrated attendance or based on an identified need.</w:t>
      </w:r>
    </w:p>
    <w:p w14:paraId="093D39FC" w14:textId="1FD4E80B" w:rsidR="009C59B1" w:rsidRDefault="009C59B1" w:rsidP="009C59B1">
      <w:pPr>
        <w:pStyle w:val="ListNumber"/>
        <w:numPr>
          <w:ilvl w:val="0"/>
          <w:numId w:val="0"/>
        </w:numPr>
        <w:rPr>
          <w:color w:val="auto"/>
        </w:rPr>
      </w:pPr>
      <w:r>
        <w:rPr>
          <w:color w:val="auto"/>
        </w:rPr>
        <w:t xml:space="preserve">If you are unable to satisfy a scheduled agreement, you and your primary counselor can negotiate another scheduled dosing time slot. You and your primary counselor will work together to schedule appointments accordingly to your availability, dosing time slot and frequency of services identified in your </w:t>
      </w:r>
      <w:r w:rsidR="00D3729F">
        <w:rPr>
          <w:color w:val="auto"/>
        </w:rPr>
        <w:t>individualized treatment plan</w:t>
      </w:r>
      <w:r>
        <w:rPr>
          <w:color w:val="auto"/>
        </w:rPr>
        <w:t xml:space="preserve">. </w:t>
      </w:r>
    </w:p>
    <w:p w14:paraId="6EB5CDF6" w14:textId="6575579D" w:rsidR="00C448B2" w:rsidRDefault="00C448B2" w:rsidP="009C59B1">
      <w:pPr>
        <w:pStyle w:val="ListNumber"/>
        <w:numPr>
          <w:ilvl w:val="0"/>
          <w:numId w:val="0"/>
        </w:numPr>
        <w:rPr>
          <w:color w:val="auto"/>
        </w:rPr>
      </w:pPr>
      <w:r>
        <w:rPr>
          <w:b/>
          <w:bCs/>
          <w:color w:val="auto"/>
        </w:rPr>
        <w:t>Flags</w:t>
      </w:r>
    </w:p>
    <w:p w14:paraId="15EC9968" w14:textId="7EAEA076" w:rsidR="00C448B2" w:rsidRPr="00C448B2" w:rsidRDefault="00C448B2" w:rsidP="009C59B1">
      <w:pPr>
        <w:pStyle w:val="ListNumber"/>
        <w:numPr>
          <w:ilvl w:val="0"/>
          <w:numId w:val="0"/>
        </w:numPr>
        <w:rPr>
          <w:color w:val="auto"/>
        </w:rPr>
      </w:pPr>
      <w:r>
        <w:rPr>
          <w:color w:val="auto"/>
        </w:rPr>
        <w:t xml:space="preserve">The OTP uses flags in the system in order to alert you to various important events upon your check in to the program.  Some are informational only, but others can stop you from dosing </w:t>
      </w:r>
      <w:r>
        <w:rPr>
          <w:color w:val="auto"/>
        </w:rPr>
        <w:lastRenderedPageBreak/>
        <w:t xml:space="preserve">until the issue is resolved.  Events that can flag your account to stop dosing include (but limited to):  random toxicology testing, </w:t>
      </w:r>
      <w:r w:rsidR="005A6DA8">
        <w:rPr>
          <w:color w:val="auto"/>
        </w:rPr>
        <w:t xml:space="preserve">a medical appointment, consecutive missed days of dosing, a need to see your primary counselor, or a need to speak with program management.  These can appear without prior notice and you must go to speak with the front desk staff to work toward getting these resolved. </w:t>
      </w:r>
    </w:p>
    <w:p w14:paraId="1BE2B891" w14:textId="77777777" w:rsidR="004D7CB6" w:rsidRDefault="004D7CB6" w:rsidP="009C59B1">
      <w:pPr>
        <w:pStyle w:val="ListNumber"/>
        <w:numPr>
          <w:ilvl w:val="0"/>
          <w:numId w:val="0"/>
        </w:numPr>
        <w:rPr>
          <w:color w:val="auto"/>
        </w:rPr>
      </w:pPr>
    </w:p>
    <w:p w14:paraId="2629E525" w14:textId="7454AD5B" w:rsidR="004D7CB6" w:rsidRDefault="004D7CB6" w:rsidP="009C59B1">
      <w:pPr>
        <w:pStyle w:val="ListNumber"/>
        <w:numPr>
          <w:ilvl w:val="0"/>
          <w:numId w:val="0"/>
        </w:numPr>
        <w:rPr>
          <w:b/>
          <w:bCs/>
          <w:color w:val="auto"/>
        </w:rPr>
      </w:pPr>
      <w:r>
        <w:rPr>
          <w:b/>
          <w:bCs/>
          <w:color w:val="auto"/>
        </w:rPr>
        <w:t>Dose Evaluation Appointments</w:t>
      </w:r>
    </w:p>
    <w:p w14:paraId="0A5D44AA" w14:textId="734C9792" w:rsidR="00CA019F" w:rsidRPr="005A6DA8" w:rsidRDefault="004D7CB6" w:rsidP="005A6DA8">
      <w:pPr>
        <w:pStyle w:val="ListNumber"/>
        <w:numPr>
          <w:ilvl w:val="0"/>
          <w:numId w:val="0"/>
        </w:numPr>
        <w:rPr>
          <w:color w:val="auto"/>
        </w:rPr>
      </w:pPr>
      <w:r>
        <w:rPr>
          <w:color w:val="auto"/>
        </w:rPr>
        <w:t xml:space="preserve">You are entitled to appointments with the medical provider to review and potentially adjust the dosage of your medications if you believe it is not managing your symptoms.  You can request these appointments with the staff at the front desk to be placed onto the schedule of the medical provider.  These appointments would occur at least 48 hours after request unless the situation is urgent or an emergency has occurred; appointments after initial stabilization are encouraged to be at least 2 weeks apart if you have had your dosage changed due to the need for the body to adjust fully to the changed dose before reviewing its effectiveness again.  </w:t>
      </w:r>
    </w:p>
    <w:p w14:paraId="7467C1A4" w14:textId="371FDFBC" w:rsidR="00CA019F" w:rsidRDefault="00CA019F" w:rsidP="00CA019F">
      <w:pPr>
        <w:rPr>
          <w:b/>
          <w:bCs/>
        </w:rPr>
      </w:pPr>
      <w:r w:rsidRPr="00176ACE">
        <w:rPr>
          <w:b/>
          <w:bCs/>
        </w:rPr>
        <w:t xml:space="preserve">Guest Dosing </w:t>
      </w:r>
    </w:p>
    <w:p w14:paraId="4F61EA31" w14:textId="77777777" w:rsidR="00CA019F" w:rsidRDefault="00CA019F" w:rsidP="00CA019F">
      <w:r>
        <w:t xml:space="preserve">If you are travelling away from the program, you and your counselor can find OTP clinics all over the USA and its territories (including Puerto Rico) for you to guest dose during your travels.  However, guest dosing is not free and it may not be fully covered by your insurance. The guest clinic will make you aware of any fees that you will be expected to pay on arrival. You are expected to make your counselor aware of travel arrangements for guest dosing, preferably at least 72 hours notice where possible. Approval for guest dosing is contingent on the criteria of the host program. Guest dosing is not permissible for more than 30 consecutive days unless there are extenuating circumstances that can be justified in order for the guest clinic to approve this arrangement.  </w:t>
      </w:r>
    </w:p>
    <w:p w14:paraId="2DAC1C74" w14:textId="77777777" w:rsidR="00CA019F" w:rsidRDefault="00CA019F" w:rsidP="00CA019F">
      <w:r>
        <w:t xml:space="preserve">If you are travelling with medication, it is your responsibility to know the rules of safe medication transport and you can be provided a letter from a medical provider indicating the medications are being prescribed to you by this program upon request.  It can also be helpful to have your program ID card with you in these cases for verification. </w:t>
      </w:r>
    </w:p>
    <w:p w14:paraId="407C13DA" w14:textId="77777777" w:rsidR="00CA019F" w:rsidRDefault="00CA019F" w:rsidP="00CA019F"/>
    <w:p w14:paraId="49B65391" w14:textId="66700992" w:rsidR="00CA019F" w:rsidRDefault="00CA019F" w:rsidP="00CA019F">
      <w:pPr>
        <w:rPr>
          <w:b/>
          <w:bCs/>
        </w:rPr>
      </w:pPr>
      <w:r w:rsidRPr="00CA019F">
        <w:rPr>
          <w:b/>
          <w:bCs/>
        </w:rPr>
        <w:t>Absence</w:t>
      </w:r>
      <w:r>
        <w:rPr>
          <w:b/>
          <w:bCs/>
        </w:rPr>
        <w:t>s</w:t>
      </w:r>
      <w:r w:rsidRPr="00CA019F">
        <w:rPr>
          <w:b/>
          <w:bCs/>
        </w:rPr>
        <w:t xml:space="preserve"> from </w:t>
      </w:r>
      <w:r>
        <w:rPr>
          <w:b/>
          <w:bCs/>
        </w:rPr>
        <w:t>T</w:t>
      </w:r>
      <w:r w:rsidRPr="00CA019F">
        <w:rPr>
          <w:b/>
          <w:bCs/>
        </w:rPr>
        <w:t>reatment</w:t>
      </w:r>
    </w:p>
    <w:p w14:paraId="36A7AAC1" w14:textId="24B6C61D" w:rsidR="00CA019F" w:rsidRDefault="00CA019F" w:rsidP="00CA019F">
      <w:r>
        <w:t xml:space="preserve">Clients who miss more than three (3) consecutive days of methadone dosing are considered absent and are required to meet with counseling, nursing, and/or a medical provider upon return to the program.  This meeting will address any potential barriers that could make it difficult to attend treatment, assess medical status, or review your safety to dose at the current prescribed amount based on the number of days absent from treatment.  The medical providers </w:t>
      </w:r>
      <w:r>
        <w:lastRenderedPageBreak/>
        <w:t xml:space="preserve">have discretion to lower a dose if it is deemed unsafe for you after a longer period of unverified absences from treatment.   Consistent absence from treatment could lead to additional referrals to alternative or higher level of care. Exceptions will be made on a case-by-case basis for documented continuous hospitalization or incarceration. </w:t>
      </w:r>
    </w:p>
    <w:p w14:paraId="594E7465" w14:textId="751612B7" w:rsidR="00CA019F" w:rsidRDefault="00CA019F" w:rsidP="00CA019F">
      <w:r>
        <w:t xml:space="preserve">If you require hospitalization, your daily medication dose may be provided to you by the hospital. Notify the hospital personnel that you are in Fusion Recovery MAT clinic and sign a consent to release information so Fusion Recovery can confirm your enrollment and current dose. You will be expected to bring a copy of your discharge papers from the hospital the day you return to Fusion Recovery. </w:t>
      </w:r>
    </w:p>
    <w:p w14:paraId="341E79FD" w14:textId="27E446FD" w:rsidR="00CA019F" w:rsidRDefault="00CA019F" w:rsidP="00CA019F">
      <w:r>
        <w:t>If you are unexpectedly arrested and jailed in the city or county jail, you should sign a release of consent and contact the clinic (or have your consented emergency contact notify on your behalf) because Fusion Recovery is able to assist the facility to continue you on MAT while incarcerated. If you know you are scheduled for incarceration, you and your primary counselor should consult with a medical provider to determine if a medically supervised taper can occur before you serve your sentence.</w:t>
      </w:r>
    </w:p>
    <w:p w14:paraId="00D42524" w14:textId="789C0A68" w:rsidR="004055E2" w:rsidRDefault="004055E2" w:rsidP="004055E2">
      <w:pPr>
        <w:rPr>
          <w:b/>
          <w:bCs/>
        </w:rPr>
      </w:pPr>
      <w:r>
        <w:rPr>
          <w:b/>
          <w:bCs/>
        </w:rPr>
        <w:t>Prescription/Medication Policy</w:t>
      </w:r>
    </w:p>
    <w:p w14:paraId="65A179D1" w14:textId="21D02DB9" w:rsidR="004055E2" w:rsidRDefault="004055E2" w:rsidP="004055E2">
      <w:r>
        <w:t>Many drugs interact with Methadone, Buprenorphine and Vivitrol prescribed for MAT and can adversely affect your health and life. These other medications can decrease the effectiveness of MAT prescriptions (creating risk for withdrawal and unintended use of illicit opiates) or increase the effects of MAT prescriptions (increasing the potential for overdose or death). All violations of the medication policy will be presented to the multidisciplinary team and recommendations for increased levels of care will be evaluated.</w:t>
      </w:r>
    </w:p>
    <w:p w14:paraId="7ECB396A" w14:textId="72F88BF1" w:rsidR="004055E2" w:rsidRPr="00D00398" w:rsidRDefault="004055E2" w:rsidP="004055E2">
      <w:pPr>
        <w:rPr>
          <w:b/>
          <w:bCs/>
        </w:rPr>
      </w:pPr>
      <w:r>
        <w:t>If you are considering to obtain or have obtained a new medication that is a controlled substance from a provider outside of Fusion Recovery (i.e., benzodiazepine, medical marijuana, opiates), you are required to inform and consult with the medical providers or Medical Director regarding that new prescription</w:t>
      </w:r>
      <w:r w:rsidR="00D00398">
        <w:t>.  If you are being prescribed medications by a primary care doctor or private psychiatrist, you must sign a consent to allow an exchange of information between those providers and Fusion Recovery.</w:t>
      </w:r>
      <w:r w:rsidR="00D00398">
        <w:rPr>
          <w:b/>
          <w:bCs/>
        </w:rPr>
        <w:t xml:space="preserve">  </w:t>
      </w:r>
      <w:r>
        <w:t xml:space="preserve">A pharmacy </w:t>
      </w:r>
      <w:r w:rsidR="00D00398">
        <w:t>or prescription drug monitoring program (PDMP) printout</w:t>
      </w:r>
      <w:r>
        <w:t xml:space="preserve"> of all medications may be used to verify medications with nurses and primary counselor. Obtaining and using medications not reviewed by the medical providers can have consequences that include reducing your methadone dose and referral to a higher level of care.</w:t>
      </w:r>
    </w:p>
    <w:p w14:paraId="556691CA" w14:textId="031F661A" w:rsidR="004055E2" w:rsidRDefault="004055E2" w:rsidP="004055E2">
      <w:r w:rsidRPr="00A74931">
        <w:rPr>
          <w:b/>
          <w:bCs/>
        </w:rPr>
        <w:t>Combining narcotic medications</w:t>
      </w:r>
      <w:r>
        <w:t xml:space="preserve"> with Methadone, Buprenorphine, and/or Vivitrol can lead to a potential overdose or death and can also be a trigger for relapse. If you require narcotic medication, you must sign a consent allowing Fusion Recovery to communicate with that physician or practitioner. </w:t>
      </w:r>
    </w:p>
    <w:p w14:paraId="5AF3DD01" w14:textId="71D34F09" w:rsidR="004055E2" w:rsidRDefault="004055E2" w:rsidP="004055E2">
      <w:r w:rsidRPr="00A74931">
        <w:rPr>
          <w:b/>
          <w:bCs/>
        </w:rPr>
        <w:lastRenderedPageBreak/>
        <w:t>Combining Alcohol</w:t>
      </w:r>
      <w:r>
        <w:t xml:space="preserve"> with Methadone, Buprenorphine, and/Vivitrol can cause harmful reactions, including overdose and death. If the clinical or medical staff think you have been drinking, you will be asked to take a breathalyzer test in addition to providing a toxicology sample. Failure to do so will jeopardize your treatment at Fusion Recovery. You will not be dosed if there is evidence of alcohol in your system. The medical staff has the right to decline or repudiate your dose if they believe you have been drinking for medical reasons and safety reasons. Law enforcement can be notified in the event you leave the premises under the influence and are driving a motor vehicle.</w:t>
      </w:r>
    </w:p>
    <w:p w14:paraId="58725B69" w14:textId="05188992" w:rsidR="004055E2" w:rsidRDefault="004055E2" w:rsidP="004055E2">
      <w:r w:rsidRPr="00A74931">
        <w:rPr>
          <w:b/>
          <w:bCs/>
        </w:rPr>
        <w:t>Combining Benzodiazepine</w:t>
      </w:r>
      <w:r>
        <w:t xml:space="preserve"> medications with Methadone, Buprenorphine, and/or Vivitrol can cause harmful reactions, including high levels of sedation, overdose, and death. </w:t>
      </w:r>
    </w:p>
    <w:p w14:paraId="3B097203" w14:textId="5577E302" w:rsidR="00CA019F" w:rsidRDefault="004055E2" w:rsidP="00CA019F">
      <w:r w:rsidRPr="00A74931">
        <w:rPr>
          <w:b/>
          <w:bCs/>
        </w:rPr>
        <w:t xml:space="preserve">Combining Stimulant </w:t>
      </w:r>
      <w:r>
        <w:t xml:space="preserve">medications with Methadone, Buprenorphine, and/or Vivitrol for prolonged periods of time can lead to the potential new addictions to develop.  Stimulants also negatively impact the effectiveness of </w:t>
      </w:r>
      <w:r w:rsidR="00D00398">
        <w:t xml:space="preserve">the MAT being prescribed to you by the program. </w:t>
      </w:r>
    </w:p>
    <w:p w14:paraId="5B7E399E" w14:textId="77777777" w:rsidR="005A6DA8" w:rsidRDefault="005A6DA8" w:rsidP="00CA019F"/>
    <w:p w14:paraId="722FCF56" w14:textId="77777777" w:rsidR="005A6DA8" w:rsidRDefault="005A6DA8" w:rsidP="00CA019F"/>
    <w:p w14:paraId="4A3D2BE8" w14:textId="77777777" w:rsidR="00CA019F" w:rsidRPr="00CA019F" w:rsidRDefault="00CA019F" w:rsidP="00CA019F">
      <w:pPr>
        <w:rPr>
          <w:b/>
          <w:bCs/>
        </w:rPr>
      </w:pPr>
      <w:r w:rsidRPr="00CA019F">
        <w:rPr>
          <w:b/>
          <w:bCs/>
        </w:rPr>
        <w:t>Take-Home Doses</w:t>
      </w:r>
    </w:p>
    <w:p w14:paraId="477763D1" w14:textId="24282B4F" w:rsidR="00CA019F" w:rsidRDefault="00354638" w:rsidP="00CA019F">
      <w:r>
        <w:t>The program is closed on every Sunday and approved holidays so all clients automatically get takehomes for these days and are expected to follow the safe-storage guidelines outlined below.  Throughout your time in treatment, more takehomes can be accrued by client request and the approval of the multi-disciplinary team after assessing the risk of potential diversion versus benefits of decreased program attendance you have by having additional medication doses in your home.  The points of consideration used by the treatment team include the following:</w:t>
      </w:r>
    </w:p>
    <w:p w14:paraId="045C0EB4" w14:textId="041BE425" w:rsidR="00354638" w:rsidRDefault="00354638">
      <w:pPr>
        <w:pStyle w:val="ListParagraph"/>
        <w:numPr>
          <w:ilvl w:val="0"/>
          <w:numId w:val="14"/>
        </w:numPr>
      </w:pPr>
      <w:r>
        <w:t>Absence of recent alcohol</w:t>
      </w:r>
      <w:r w:rsidR="002E67DC">
        <w:t xml:space="preserve"> or illicit benzodiazepine</w:t>
      </w:r>
      <w:r>
        <w:t xml:space="preserve"> use</w:t>
      </w:r>
    </w:p>
    <w:p w14:paraId="5AACC530" w14:textId="319DD6CB" w:rsidR="00354638" w:rsidRDefault="00354638">
      <w:pPr>
        <w:pStyle w:val="ListParagraph"/>
        <w:numPr>
          <w:ilvl w:val="0"/>
          <w:numId w:val="14"/>
        </w:numPr>
      </w:pPr>
      <w:r>
        <w:t>Regularity or consistency of program attendance</w:t>
      </w:r>
    </w:p>
    <w:p w14:paraId="3115AC50" w14:textId="4D03989B" w:rsidR="00354638" w:rsidRDefault="00354638">
      <w:pPr>
        <w:pStyle w:val="ListParagraph"/>
        <w:numPr>
          <w:ilvl w:val="0"/>
          <w:numId w:val="14"/>
        </w:numPr>
      </w:pPr>
      <w:r>
        <w:t xml:space="preserve">Absence of serious behavioral problems at the clinic </w:t>
      </w:r>
    </w:p>
    <w:p w14:paraId="278045CA" w14:textId="5B91840F" w:rsidR="00354638" w:rsidRDefault="00354638">
      <w:pPr>
        <w:pStyle w:val="ListParagraph"/>
        <w:numPr>
          <w:ilvl w:val="0"/>
          <w:numId w:val="14"/>
        </w:numPr>
      </w:pPr>
      <w:r>
        <w:t xml:space="preserve">Absence of any known recent criminal activity </w:t>
      </w:r>
    </w:p>
    <w:p w14:paraId="7F023038" w14:textId="25E46625" w:rsidR="00354638" w:rsidRDefault="00354638">
      <w:pPr>
        <w:pStyle w:val="ListParagraph"/>
        <w:numPr>
          <w:ilvl w:val="0"/>
          <w:numId w:val="14"/>
        </w:numPr>
      </w:pPr>
      <w:r>
        <w:t>Stability of client’s home environment</w:t>
      </w:r>
      <w:r w:rsidR="002E67DC">
        <w:t xml:space="preserve"> (including housing and/or household makeup)</w:t>
      </w:r>
    </w:p>
    <w:p w14:paraId="42A84C99" w14:textId="2EEC2C3A" w:rsidR="00832F3A" w:rsidRDefault="00832F3A">
      <w:pPr>
        <w:pStyle w:val="ListParagraph"/>
        <w:numPr>
          <w:ilvl w:val="0"/>
          <w:numId w:val="14"/>
        </w:numPr>
      </w:pPr>
      <w:r>
        <w:t>Family needs (such as visitation schedules)</w:t>
      </w:r>
    </w:p>
    <w:p w14:paraId="2B5576BC" w14:textId="1DF5A7DA" w:rsidR="00832F3A" w:rsidRDefault="00832F3A">
      <w:pPr>
        <w:pStyle w:val="ListParagraph"/>
        <w:numPr>
          <w:ilvl w:val="0"/>
          <w:numId w:val="14"/>
        </w:numPr>
      </w:pPr>
      <w:r>
        <w:t>Employment schedules</w:t>
      </w:r>
    </w:p>
    <w:p w14:paraId="31875FBE" w14:textId="3CBE27B5" w:rsidR="00832F3A" w:rsidRDefault="00832F3A">
      <w:pPr>
        <w:pStyle w:val="ListParagraph"/>
        <w:numPr>
          <w:ilvl w:val="0"/>
          <w:numId w:val="14"/>
        </w:numPr>
      </w:pPr>
      <w:r>
        <w:t>Transportation barriers or concerns to attend during program hours</w:t>
      </w:r>
    </w:p>
    <w:p w14:paraId="43AD7EC7" w14:textId="77777777" w:rsidR="00354638" w:rsidRDefault="00354638">
      <w:pPr>
        <w:pStyle w:val="ListParagraph"/>
        <w:numPr>
          <w:ilvl w:val="0"/>
          <w:numId w:val="14"/>
        </w:numPr>
      </w:pPr>
      <w:r>
        <w:t>Assurance that take-home medication can be safely transported to/ stored within the client’s home.</w:t>
      </w:r>
    </w:p>
    <w:p w14:paraId="7EF4807B" w14:textId="36EF5994" w:rsidR="00AF079C" w:rsidRDefault="00832F3A" w:rsidP="00832F3A">
      <w:r>
        <w:t>Before receiving your first additional take-home, you are expected to sign a take-home contract in order to request the date change of the treatment schedule with the medical providers. It is recommended you have a lock box to store your take-home medication</w:t>
      </w:r>
      <w:r w:rsidR="00AF079C">
        <w:t xml:space="preserve"> to prevent others from </w:t>
      </w:r>
      <w:r w:rsidR="00AF079C">
        <w:lastRenderedPageBreak/>
        <w:t>having access to your medications</w:t>
      </w:r>
      <w:r>
        <w:t xml:space="preserve">. </w:t>
      </w:r>
      <w:r w:rsidR="00AF079C">
        <w:t xml:space="preserve">Methadone is a Schedule II Narcotic and should be considered dangerous. </w:t>
      </w:r>
      <w:r w:rsidR="00AF079C" w:rsidRPr="006A3863">
        <w:rPr>
          <w:b/>
          <w:bCs/>
        </w:rPr>
        <w:t>MEDICATION MUST BE KEPT OUT OF REACH OF CHILDREN</w:t>
      </w:r>
      <w:r w:rsidR="00AF079C">
        <w:t xml:space="preserve"> and in an area that is not easily accessible to others as it can be fatal if consumed by a child or individual for whom it is not prescribed.</w:t>
      </w:r>
    </w:p>
    <w:p w14:paraId="2F7A03B4" w14:textId="6781DAFD" w:rsidR="00832F3A" w:rsidRDefault="00832F3A" w:rsidP="00832F3A">
      <w:r>
        <w:t>You are responsible for taking your medication as directed on the dispensing label and on the date indicated on the label.  All empty take-home medication bottles will be returned to the clinic on your next scheduled dosing day with the proper label intact</w:t>
      </w:r>
      <w:r w:rsidR="00AF079C">
        <w:t xml:space="preserve"> and unaltered</w:t>
      </w:r>
      <w:r>
        <w:t>. All empty take-home medication bottles will be disposed of at the clinic.</w:t>
      </w:r>
      <w:r w:rsidR="00AF079C">
        <w:t xml:space="preserve">  </w:t>
      </w:r>
    </w:p>
    <w:p w14:paraId="1312C128" w14:textId="5EEAA314" w:rsidR="00AF079C" w:rsidRDefault="00AF079C" w:rsidP="00832F3A">
      <w:r>
        <w:t xml:space="preserve">Lost, stolen, or spilled take-home doses cannot be replaced by Fusion Recovery. If the box/storage container containing your take-home doses or individual bottles are lost or stolen, you must file a police report and provide a copy of that report to Fusion Recovery.  </w:t>
      </w:r>
    </w:p>
    <w:p w14:paraId="4DDA9676" w14:textId="4505D4F8" w:rsidR="00832F3A" w:rsidRDefault="00832F3A" w:rsidP="00832F3A">
      <w:r>
        <w:rPr>
          <w:b/>
          <w:bCs/>
        </w:rPr>
        <w:t>Medication Recalls</w:t>
      </w:r>
    </w:p>
    <w:p w14:paraId="14A8A4B4" w14:textId="698A8910" w:rsidR="00832F3A" w:rsidRDefault="00832F3A" w:rsidP="00832F3A">
      <w:r>
        <w:t xml:space="preserve">As part of the Fusion Recovery’s diversion control plan, clients with multiple takehomes can be subjected to recalls in order to verify the safety of the takehome medication.  This may occur at random or if a concern was raised about your specific safety to continue to have unsupervised takehome medication.  If there is a recall, a program staff member will contact you at the number you have on file in order to ask you to come in with your medication – both the empty bottles already taken and doses not yet taken.  </w:t>
      </w:r>
      <w:r w:rsidR="008357AD">
        <w:t xml:space="preserve">Once you are asked to come into the program for a recall, you have 24-48 hours (depending on circumstances) to present with your medication to the program or you can be considered to have failed to appear for the recall.  Upon arrival, you will meet with your primary counselor and a member of Fusion nursing staff in order to verify the count of bottles as well as the dates on the doses to ensure that you have taken your medication correctly.  You will also be asked to provide a toxicology screen as well as be given a breathalyzer to verify your current status.  </w:t>
      </w:r>
    </w:p>
    <w:p w14:paraId="12A601CB" w14:textId="78A931E1" w:rsidR="008357AD" w:rsidRDefault="008357AD" w:rsidP="00832F3A">
      <w:r>
        <w:t xml:space="preserve">Fusion staff </w:t>
      </w:r>
      <w:r w:rsidRPr="008357AD">
        <w:rPr>
          <w:b/>
          <w:bCs/>
        </w:rPr>
        <w:t>will not leave a message</w:t>
      </w:r>
      <w:r>
        <w:rPr>
          <w:b/>
          <w:bCs/>
        </w:rPr>
        <w:t xml:space="preserve"> </w:t>
      </w:r>
      <w:r>
        <w:t xml:space="preserve">for a recall and repeated unsuccessful attempts to contact you while you have takehome medication will be addressed with you during individual counseling sessions as too many missed contacts could potentially lead to revocation of takehome medication.  It is your responsibility to continually update your phone number with the program if it changes in order to ensure that you can be contacted by program staff. </w:t>
      </w:r>
    </w:p>
    <w:p w14:paraId="1CBFE119" w14:textId="2DA10BA1" w:rsidR="008357AD" w:rsidRPr="008357AD" w:rsidRDefault="008357AD" w:rsidP="00832F3A">
      <w:r>
        <w:t xml:space="preserve">The findings of any recall will be presented to the multidisciplinary team and if evidence of diversion is found, the medical providers may use their discretion to revoke your takehome status until there is sufficient education or treatment interventions (which can include a higher level of </w:t>
      </w:r>
      <w:r w:rsidR="00AF079C">
        <w:t>care) to</w:t>
      </w:r>
      <w:r>
        <w:t xml:space="preserve"> verify that you are now able to store or take your medication safely. </w:t>
      </w:r>
    </w:p>
    <w:p w14:paraId="462DCE32" w14:textId="77777777" w:rsidR="00AF079C" w:rsidRDefault="00AF079C" w:rsidP="00AF079C"/>
    <w:p w14:paraId="5CA354A8" w14:textId="3B45C82B" w:rsidR="00AF079C" w:rsidRDefault="00AF079C" w:rsidP="00AF079C">
      <w:pPr>
        <w:rPr>
          <w:b/>
          <w:bCs/>
        </w:rPr>
      </w:pPr>
      <w:r w:rsidRPr="00430848">
        <w:rPr>
          <w:b/>
          <w:bCs/>
        </w:rPr>
        <w:t xml:space="preserve">Revocation of </w:t>
      </w:r>
      <w:r w:rsidR="00C35875">
        <w:rPr>
          <w:b/>
          <w:bCs/>
        </w:rPr>
        <w:t>T</w:t>
      </w:r>
      <w:r w:rsidRPr="00430848">
        <w:rPr>
          <w:b/>
          <w:bCs/>
        </w:rPr>
        <w:t>ake-homes</w:t>
      </w:r>
    </w:p>
    <w:p w14:paraId="00F3A0E7" w14:textId="7849F285" w:rsidR="00AF079C" w:rsidRDefault="00AF079C" w:rsidP="00AF079C">
      <w:r>
        <w:lastRenderedPageBreak/>
        <w:t>Please remember that take-home doses are granted by the discretion of the medical providers based on the benefit outweighing the risk of your having access to additional medication. If there is concern that your situation has become too risky, the medical providers can recommend that your takehome status is revoked or altered to fit what they deem is appropriate for the circumstances. Take-home medication can be altered or revoked if:</w:t>
      </w:r>
    </w:p>
    <w:p w14:paraId="1D7078AA" w14:textId="4BAA72D2" w:rsidR="00AF079C" w:rsidRDefault="00AF079C">
      <w:pPr>
        <w:pStyle w:val="ListParagraph"/>
        <w:numPr>
          <w:ilvl w:val="0"/>
          <w:numId w:val="15"/>
        </w:numPr>
      </w:pPr>
      <w:r>
        <w:t>You refuse to submit a toxicology sample for screening</w:t>
      </w:r>
      <w:r w:rsidR="00714AA3">
        <w:t xml:space="preserve"> on a regular basis, provide an empty sample,</w:t>
      </w:r>
      <w:r>
        <w:t xml:space="preserve"> </w:t>
      </w:r>
      <w:r w:rsidR="00714AA3">
        <w:t>or there is evidence of tampering with the results of the given toxicology test.</w:t>
      </w:r>
    </w:p>
    <w:p w14:paraId="52DE5112" w14:textId="544497C9" w:rsidR="00AF079C" w:rsidRDefault="00AF079C">
      <w:pPr>
        <w:pStyle w:val="ListParagraph"/>
        <w:numPr>
          <w:ilvl w:val="0"/>
          <w:numId w:val="15"/>
        </w:numPr>
      </w:pPr>
      <w:r>
        <w:t xml:space="preserve">Evidence of diversion of methadone which can include testing negative for methadone in toxicology screens, missing takehome bottles, </w:t>
      </w:r>
      <w:r w:rsidR="00714AA3">
        <w:t xml:space="preserve">improper or missing labels on bottles, </w:t>
      </w:r>
      <w:r>
        <w:t xml:space="preserve">having takehome bottles that are not prescribed to you, and stockpiling bottles and/or leftover medication. </w:t>
      </w:r>
    </w:p>
    <w:p w14:paraId="35D8FA6E" w14:textId="35E7E438" w:rsidR="00AF079C" w:rsidRDefault="00AF079C">
      <w:pPr>
        <w:pStyle w:val="ListParagraph"/>
        <w:numPr>
          <w:ilvl w:val="0"/>
          <w:numId w:val="15"/>
        </w:numPr>
      </w:pPr>
      <w:r>
        <w:t xml:space="preserve">You become medically or psychiatrically </w:t>
      </w:r>
      <w:r w:rsidR="00714AA3">
        <w:t xml:space="preserve">unsafe to manage your medication at </w:t>
      </w:r>
      <w:r w:rsidR="00C35875">
        <w:t>home as</w:t>
      </w:r>
      <w:r>
        <w:t xml:space="preserve"> determined by </w:t>
      </w:r>
      <w:r w:rsidR="00714AA3">
        <w:t xml:space="preserve">the </w:t>
      </w:r>
      <w:r>
        <w:t>medical staff.</w:t>
      </w:r>
    </w:p>
    <w:p w14:paraId="4985C181" w14:textId="3FC78938" w:rsidR="00AF079C" w:rsidRDefault="00AF079C">
      <w:pPr>
        <w:pStyle w:val="ListParagraph"/>
        <w:numPr>
          <w:ilvl w:val="0"/>
          <w:numId w:val="15"/>
        </w:numPr>
      </w:pPr>
      <w:r>
        <w:t xml:space="preserve">Your living situation becomes unsafe for the storage or administration of your </w:t>
      </w:r>
      <w:r w:rsidR="00714AA3">
        <w:t>medication</w:t>
      </w:r>
      <w:r>
        <w:t>.</w:t>
      </w:r>
    </w:p>
    <w:p w14:paraId="24E3B87F" w14:textId="2D4BC6DE" w:rsidR="00AF079C" w:rsidRDefault="00AF079C">
      <w:pPr>
        <w:pStyle w:val="ListParagraph"/>
        <w:numPr>
          <w:ilvl w:val="0"/>
          <w:numId w:val="15"/>
        </w:numPr>
      </w:pPr>
      <w:r>
        <w:t xml:space="preserve">You fail to </w:t>
      </w:r>
      <w:r w:rsidR="00714AA3">
        <w:t>respond to</w:t>
      </w:r>
      <w:r>
        <w:t xml:space="preserve"> a recall procedure</w:t>
      </w:r>
      <w:r w:rsidR="00714AA3">
        <w:t xml:space="preserve"> by either not returning when asked or by staff’s repeated inability to contact you. </w:t>
      </w:r>
    </w:p>
    <w:p w14:paraId="3CC13F39" w14:textId="03F44881" w:rsidR="00AF079C" w:rsidRDefault="00C35875" w:rsidP="00AF079C">
      <w:r>
        <w:t xml:space="preserve">If your takehomes are revoked or altered due to these conditions, you will be presented with treatment recommendations in order to address the issue that led to the change in your takehome schedule.  You can become eligible to have them reinstated at the discretion of the medical providers if there is sufficient reason to believe that you are able to safely manage your medication at home after further review. </w:t>
      </w:r>
    </w:p>
    <w:p w14:paraId="1ABF7A73" w14:textId="77777777" w:rsidR="00C35875" w:rsidRDefault="00C35875" w:rsidP="00AF079C"/>
    <w:p w14:paraId="39133C92" w14:textId="77777777" w:rsidR="00C35875" w:rsidRPr="00187B3E" w:rsidRDefault="00C35875" w:rsidP="00C35875">
      <w:pPr>
        <w:rPr>
          <w:b/>
          <w:bCs/>
        </w:rPr>
      </w:pPr>
      <w:r w:rsidRPr="00187B3E">
        <w:rPr>
          <w:b/>
          <w:bCs/>
        </w:rPr>
        <w:t>Transfer Procedures</w:t>
      </w:r>
    </w:p>
    <w:p w14:paraId="652A5EC8" w14:textId="08DAB35B" w:rsidR="00C35875" w:rsidRDefault="00C35875" w:rsidP="00C35875">
      <w:r>
        <w:t xml:space="preserve">If you plan to transfer out of state, you should make every effort to provide notification of at least one month in advance to allow Fusion Recovery (home clinic) and the receiving clinic enough time to receive and verify required documentation and to ensure a smooth transition. </w:t>
      </w:r>
    </w:p>
    <w:p w14:paraId="2582FCC5" w14:textId="29C6107D" w:rsidR="00C35875" w:rsidRDefault="00C35875" w:rsidP="00C35875">
      <w:r>
        <w:t xml:space="preserve">If you plan to transfer within New York State, you should make every effort to provide notification of at least 30 days in advance to allow Fusion Recovery (home clinic) and the receiving clinic enough time to receive and verify required documentation and to ensure a smooth transition. </w:t>
      </w:r>
    </w:p>
    <w:p w14:paraId="16219E6A" w14:textId="3AAFAEDD" w:rsidR="004055E2" w:rsidRDefault="00C35875" w:rsidP="00AF079C">
      <w:r>
        <w:t>Please be advised that travel doses for transfer are subject to the same rule of eligibility as any other take-home medication and that you may be able to guest dose prior to your admission appointment.</w:t>
      </w:r>
    </w:p>
    <w:p w14:paraId="78D521D6" w14:textId="57C8C1CD" w:rsidR="00C35875" w:rsidRPr="00C35875" w:rsidRDefault="00C35875" w:rsidP="00AF079C">
      <w:pPr>
        <w:rPr>
          <w:b/>
          <w:bCs/>
        </w:rPr>
      </w:pPr>
      <w:r>
        <w:rPr>
          <w:b/>
          <w:bCs/>
        </w:rPr>
        <w:t>Treatment Completion -  Tapering</w:t>
      </w:r>
    </w:p>
    <w:p w14:paraId="67D48F52" w14:textId="44524673" w:rsidR="00C35875" w:rsidRDefault="00C35875" w:rsidP="00C35875">
      <w:pPr>
        <w:pStyle w:val="ListNumber"/>
        <w:numPr>
          <w:ilvl w:val="0"/>
          <w:numId w:val="0"/>
        </w:numPr>
        <w:rPr>
          <w:color w:val="auto"/>
        </w:rPr>
      </w:pPr>
      <w:r>
        <w:rPr>
          <w:color w:val="auto"/>
        </w:rPr>
        <w:lastRenderedPageBreak/>
        <w:t>A client may request a voluntary taper at any time and may discuss reasons and circumstances with program staff who must provide clinical and medical feedback regarding client readiness.  No reasonable request shall be denied. The medical providers will administer a voluntary taper at a pace tailored to the client’s individual needs, based on clinical judgment, medical evaluation, client input and feedback at the start of the taper and continuously throughout. The medical providers can also arrange for tapering at another program or in the facility approved to provide tapering as is medically and clinically appropriate.</w:t>
      </w:r>
    </w:p>
    <w:p w14:paraId="608B18CD" w14:textId="1A662AE8" w:rsidR="00C35875" w:rsidRDefault="00C35875" w:rsidP="00C35875">
      <w:pPr>
        <w:pStyle w:val="ListNumber"/>
        <w:numPr>
          <w:ilvl w:val="0"/>
          <w:numId w:val="0"/>
        </w:numPr>
        <w:rPr>
          <w:color w:val="auto"/>
        </w:rPr>
      </w:pPr>
      <w:r>
        <w:rPr>
          <w:color w:val="auto"/>
        </w:rPr>
        <w:t>Tapering can take weeks but preferably months because slower tapering schedules with longer intervals between reductions are considerably more comfortable than faster tapering. Withdrawal symptoms will occur when you stop taking Methadone</w:t>
      </w:r>
      <w:r w:rsidR="00C03F3B">
        <w:rPr>
          <w:color w:val="auto"/>
        </w:rPr>
        <w:t xml:space="preserve"> or buprenorphine</w:t>
      </w:r>
      <w:r>
        <w:rPr>
          <w:color w:val="auto"/>
        </w:rPr>
        <w:t>.  Medically supervised tapering that is gradual and slow will lessen withdrawal symptoms.</w:t>
      </w:r>
    </w:p>
    <w:p w14:paraId="53434C69" w14:textId="77777777" w:rsidR="00C35875" w:rsidRDefault="00C35875" w:rsidP="00C35875">
      <w:pPr>
        <w:pStyle w:val="ListNumber"/>
        <w:numPr>
          <w:ilvl w:val="0"/>
          <w:numId w:val="0"/>
        </w:numPr>
        <w:rPr>
          <w:color w:val="auto"/>
        </w:rPr>
      </w:pPr>
      <w:r>
        <w:rPr>
          <w:color w:val="auto"/>
        </w:rPr>
        <w:t>You may be ready to taper if you are:</w:t>
      </w:r>
    </w:p>
    <w:p w14:paraId="57D72D1D" w14:textId="77777777" w:rsidR="00C35875" w:rsidRDefault="00C35875">
      <w:pPr>
        <w:pStyle w:val="ListParagraph"/>
        <w:numPr>
          <w:ilvl w:val="0"/>
          <w:numId w:val="15"/>
        </w:numPr>
      </w:pPr>
      <w:r>
        <w:t>Abstaining from alcohol and illicit substances.</w:t>
      </w:r>
    </w:p>
    <w:p w14:paraId="74EA8A9F" w14:textId="07F7850C" w:rsidR="00C35875" w:rsidRDefault="00C35875">
      <w:pPr>
        <w:pStyle w:val="ListParagraph"/>
        <w:numPr>
          <w:ilvl w:val="0"/>
          <w:numId w:val="15"/>
        </w:numPr>
      </w:pPr>
      <w:r>
        <w:t xml:space="preserve">Able to cope with difficult situations without using </w:t>
      </w:r>
      <w:r w:rsidR="00C03F3B">
        <w:t>substances</w:t>
      </w:r>
      <w:r>
        <w:t>.</w:t>
      </w:r>
    </w:p>
    <w:p w14:paraId="64D4F4D7" w14:textId="77777777" w:rsidR="00C35875" w:rsidRDefault="00C35875">
      <w:pPr>
        <w:pStyle w:val="ListParagraph"/>
        <w:numPr>
          <w:ilvl w:val="0"/>
          <w:numId w:val="15"/>
        </w:numPr>
      </w:pPr>
      <w:r>
        <w:t>Employed or in school.</w:t>
      </w:r>
    </w:p>
    <w:p w14:paraId="58C1B857" w14:textId="77777777" w:rsidR="00C35875" w:rsidRDefault="00C35875">
      <w:pPr>
        <w:pStyle w:val="ListParagraph"/>
        <w:numPr>
          <w:ilvl w:val="0"/>
          <w:numId w:val="15"/>
        </w:numPr>
      </w:pPr>
      <w:r>
        <w:t>Staying away from drug users and illegal activities.</w:t>
      </w:r>
    </w:p>
    <w:p w14:paraId="1AC9D273" w14:textId="77777777" w:rsidR="00C35875" w:rsidRDefault="00C35875">
      <w:pPr>
        <w:pStyle w:val="ListParagraph"/>
        <w:numPr>
          <w:ilvl w:val="0"/>
          <w:numId w:val="15"/>
        </w:numPr>
      </w:pPr>
      <w:r>
        <w:t>No longer in possession of drug paraphernalia.</w:t>
      </w:r>
    </w:p>
    <w:p w14:paraId="4B9B4E62" w14:textId="3B627141" w:rsidR="00C35875" w:rsidRDefault="00C35875">
      <w:pPr>
        <w:pStyle w:val="ListParagraph"/>
        <w:numPr>
          <w:ilvl w:val="0"/>
          <w:numId w:val="15"/>
        </w:numPr>
      </w:pPr>
      <w:r>
        <w:t xml:space="preserve">Living in a neighborhood with minimal drug use </w:t>
      </w:r>
      <w:r w:rsidR="00C03F3B">
        <w:t>conducive to recovery</w:t>
      </w:r>
      <w:r>
        <w:t>.</w:t>
      </w:r>
    </w:p>
    <w:p w14:paraId="201ADFD1" w14:textId="77777777" w:rsidR="00C35875" w:rsidRDefault="00C35875">
      <w:pPr>
        <w:pStyle w:val="ListParagraph"/>
        <w:numPr>
          <w:ilvl w:val="0"/>
          <w:numId w:val="15"/>
        </w:numPr>
      </w:pPr>
      <w:r>
        <w:t>Living in a stable family relationship.</w:t>
      </w:r>
    </w:p>
    <w:p w14:paraId="42092314" w14:textId="69713468" w:rsidR="00C35875" w:rsidRDefault="00C35875">
      <w:pPr>
        <w:pStyle w:val="ListParagraph"/>
        <w:numPr>
          <w:ilvl w:val="0"/>
          <w:numId w:val="15"/>
        </w:numPr>
      </w:pPr>
      <w:r>
        <w:t>Spending time with non-</w:t>
      </w:r>
      <w:r w:rsidR="00C03F3B">
        <w:t>substance using</w:t>
      </w:r>
      <w:r>
        <w:t xml:space="preserve"> friends.</w:t>
      </w:r>
    </w:p>
    <w:p w14:paraId="73937B0C" w14:textId="77777777" w:rsidR="00C35875" w:rsidRDefault="00C35875">
      <w:pPr>
        <w:pStyle w:val="ListParagraph"/>
        <w:numPr>
          <w:ilvl w:val="0"/>
          <w:numId w:val="15"/>
        </w:numPr>
      </w:pPr>
      <w:r>
        <w:t>Connected to friends or family who would be helpful during a taper.</w:t>
      </w:r>
    </w:p>
    <w:p w14:paraId="7BE471D1" w14:textId="637EE432" w:rsidR="00C35875" w:rsidRDefault="00C03F3B">
      <w:pPr>
        <w:pStyle w:val="ListParagraph"/>
        <w:numPr>
          <w:ilvl w:val="0"/>
          <w:numId w:val="15"/>
        </w:numPr>
      </w:pPr>
      <w:r>
        <w:t>Engaged in treatment or counseling</w:t>
      </w:r>
      <w:r w:rsidR="00C35875">
        <w:t>.</w:t>
      </w:r>
    </w:p>
    <w:p w14:paraId="05EF65E0" w14:textId="77777777" w:rsidR="00C35875" w:rsidRDefault="00C35875">
      <w:pPr>
        <w:pStyle w:val="ListParagraph"/>
        <w:numPr>
          <w:ilvl w:val="0"/>
          <w:numId w:val="15"/>
        </w:numPr>
      </w:pPr>
      <w:r>
        <w:t>Stabilized on a relatively low dose of Methadone.</w:t>
      </w:r>
    </w:p>
    <w:p w14:paraId="4C23FB18" w14:textId="77777777" w:rsidR="00C35875" w:rsidRPr="00904C3E" w:rsidRDefault="00C35875">
      <w:pPr>
        <w:pStyle w:val="ListParagraph"/>
        <w:numPr>
          <w:ilvl w:val="0"/>
          <w:numId w:val="15"/>
        </w:numPr>
      </w:pPr>
      <w:r>
        <w:t xml:space="preserve">In good mental and physical health.  </w:t>
      </w:r>
    </w:p>
    <w:p w14:paraId="1B64B4D1" w14:textId="77777777" w:rsidR="00C35875" w:rsidRPr="000F374D" w:rsidRDefault="00C35875" w:rsidP="00C35875">
      <w:pPr>
        <w:pStyle w:val="ListNumber"/>
        <w:numPr>
          <w:ilvl w:val="0"/>
          <w:numId w:val="0"/>
        </w:numPr>
        <w:rPr>
          <w:b/>
          <w:bCs/>
          <w:color w:val="auto"/>
        </w:rPr>
      </w:pPr>
    </w:p>
    <w:p w14:paraId="01797B63" w14:textId="1008B5E5" w:rsidR="00C35875" w:rsidRDefault="00C35875" w:rsidP="00C35875">
      <w:pPr>
        <w:pStyle w:val="ListNumber"/>
        <w:numPr>
          <w:ilvl w:val="0"/>
          <w:numId w:val="0"/>
        </w:numPr>
        <w:rPr>
          <w:color w:val="auto"/>
        </w:rPr>
      </w:pPr>
      <w:r>
        <w:rPr>
          <w:color w:val="auto"/>
        </w:rPr>
        <w:t xml:space="preserve">All clients who are planning on tapering or stopping medication must meet with </w:t>
      </w:r>
      <w:r w:rsidR="00C03F3B">
        <w:rPr>
          <w:color w:val="auto"/>
        </w:rPr>
        <w:t xml:space="preserve">a medical provider </w:t>
      </w:r>
      <w:r>
        <w:rPr>
          <w:color w:val="auto"/>
        </w:rPr>
        <w:t>to discuss a medically supervised taper. Your primary counselor will help you arrange this.</w:t>
      </w:r>
    </w:p>
    <w:p w14:paraId="25208468" w14:textId="7D53CF82" w:rsidR="00C35875" w:rsidRPr="00611F43" w:rsidRDefault="00C35875" w:rsidP="00611F43">
      <w:r>
        <w:t xml:space="preserve">An </w:t>
      </w:r>
      <w:r w:rsidR="00C03F3B" w:rsidRPr="00611F43">
        <w:t>administrative</w:t>
      </w:r>
      <w:r w:rsidRPr="00611F43">
        <w:t xml:space="preserve"> </w:t>
      </w:r>
      <w:r w:rsidR="00C03F3B" w:rsidRPr="00611F43">
        <w:t>t</w:t>
      </w:r>
      <w:r w:rsidRPr="00611F43">
        <w:t>aper</w:t>
      </w:r>
      <w:r w:rsidRPr="00C03F3B">
        <w:t xml:space="preserve"> is not something you ask for; it is initiated for </w:t>
      </w:r>
      <w:r w:rsidR="00C03F3B">
        <w:t>you based on the administrative discharge criteria previously highlighted (see page 1</w:t>
      </w:r>
      <w:r w:rsidR="00E47DD2">
        <w:t>3</w:t>
      </w:r>
      <w:r w:rsidR="00C03F3B">
        <w:t xml:space="preserve">).  If you do not wish to be tapered off of medication at the time of being presented for an administrative taper, you can explore options to transfer programs with your primary counselor.  Any transfer under these circumstances is still subject to the approval of the requested new home clinic. </w:t>
      </w:r>
    </w:p>
    <w:p w14:paraId="7E7ACB43" w14:textId="77777777" w:rsidR="00C03F3B" w:rsidRDefault="00C03F3B" w:rsidP="00C03F3B">
      <w:pPr>
        <w:rPr>
          <w:b/>
          <w:bCs/>
        </w:rPr>
      </w:pPr>
      <w:r w:rsidRPr="00072E32">
        <w:rPr>
          <w:b/>
          <w:bCs/>
        </w:rPr>
        <w:t xml:space="preserve">Post Treatment Care </w:t>
      </w:r>
    </w:p>
    <w:p w14:paraId="47D4CEDD" w14:textId="3AF25CDA" w:rsidR="00C03F3B" w:rsidRDefault="00C03F3B" w:rsidP="00C03F3B">
      <w:r>
        <w:t xml:space="preserve">Fusion Recovery can offer you continuing care for a period of time following official completion from treatment. Individuals may be admitted to continuing care when they have been </w:t>
      </w:r>
      <w:r>
        <w:lastRenderedPageBreak/>
        <w:t xml:space="preserve">discharged from active treatment and there is documented clinical need for ongoing clinical support to prevent relapse or to maintain gains made in active treatment. The purpose of continuing care is to provide ongoing addiction management services including management of life stressors, urges and cravings, mood and interpersonal relationships and to maintain gains made in active treatment.  Individuals in continuing care may receive counseling or peer services once per month. Individuals in continuing care may receive rehabilitative support services including case management and medication management services as needed. </w:t>
      </w:r>
    </w:p>
    <w:p w14:paraId="508794EB" w14:textId="76ECD133" w:rsidR="00832F3A" w:rsidRDefault="00832F3A" w:rsidP="00832F3A"/>
    <w:p w14:paraId="0A64539E" w14:textId="77777777" w:rsidR="00832F3A" w:rsidRDefault="00832F3A" w:rsidP="00832F3A"/>
    <w:p w14:paraId="3FED2374" w14:textId="77777777" w:rsidR="00832F3A" w:rsidRDefault="00832F3A" w:rsidP="00832F3A"/>
    <w:p w14:paraId="3711761A" w14:textId="77777777" w:rsidR="00354638" w:rsidRPr="004D7CB6" w:rsidRDefault="00354638" w:rsidP="00CA019F"/>
    <w:p w14:paraId="45738268" w14:textId="77777777" w:rsidR="005A6DA8" w:rsidRDefault="005A6DA8" w:rsidP="00AC1159">
      <w:pPr>
        <w:rPr>
          <w:b/>
          <w:bCs/>
        </w:rPr>
      </w:pPr>
    </w:p>
    <w:p w14:paraId="361C3225" w14:textId="0C4EC8A1" w:rsidR="00D00398" w:rsidRPr="00D00398" w:rsidRDefault="00D00398" w:rsidP="00AC1159">
      <w:pPr>
        <w:rPr>
          <w:b/>
          <w:bCs/>
        </w:rPr>
      </w:pPr>
      <w:r>
        <w:rPr>
          <w:b/>
          <w:bCs/>
        </w:rPr>
        <w:t>Medications Used In Treatment</w:t>
      </w:r>
    </w:p>
    <w:p w14:paraId="72BC913A" w14:textId="60B78785" w:rsidR="00D00398" w:rsidRPr="00611F43" w:rsidRDefault="00D00398" w:rsidP="00D00398">
      <w:pPr>
        <w:pStyle w:val="ListNumber"/>
        <w:numPr>
          <w:ilvl w:val="0"/>
          <w:numId w:val="0"/>
        </w:numPr>
        <w:ind w:left="60"/>
        <w:rPr>
          <w:color w:val="auto"/>
        </w:rPr>
      </w:pPr>
      <w:r w:rsidRPr="00611F43">
        <w:rPr>
          <w:color w:val="auto"/>
        </w:rPr>
        <w:t xml:space="preserve">Three medications, namely Methadone, Buprenorphine and Vivitrol (naltrexone) are approved by the United Stated Food and Drug Administration for treatment Opioid Use Disorder. Some trades names of these medications are Methadose (Methadone); Suboxone, Zubsolv, </w:t>
      </w:r>
      <w:r w:rsidR="009B5DF9" w:rsidRPr="00611F43">
        <w:rPr>
          <w:color w:val="auto"/>
        </w:rPr>
        <w:t>Brixadi, Sublocade</w:t>
      </w:r>
      <w:r w:rsidRPr="00611F43">
        <w:rPr>
          <w:color w:val="auto"/>
        </w:rPr>
        <w:t xml:space="preserve"> (Buprenorphine); and ReVia, Depade, Vivitrol(naltrexone). All three medications have different properties, are suitable and indicated for different clients. All three medications are available at Fusion Recovery.</w:t>
      </w:r>
    </w:p>
    <w:p w14:paraId="471C4B77" w14:textId="77777777" w:rsidR="00D00398" w:rsidRPr="00611F43" w:rsidRDefault="00D00398" w:rsidP="00D00398">
      <w:pPr>
        <w:pStyle w:val="ListNumber"/>
        <w:numPr>
          <w:ilvl w:val="0"/>
          <w:numId w:val="0"/>
        </w:numPr>
        <w:ind w:left="60"/>
        <w:rPr>
          <w:color w:val="auto"/>
        </w:rPr>
      </w:pPr>
      <w:r w:rsidRPr="00611F43">
        <w:rPr>
          <w:b/>
          <w:bCs/>
          <w:color w:val="auto"/>
        </w:rPr>
        <w:t>Methadone</w:t>
      </w:r>
      <w:r w:rsidRPr="00611F43">
        <w:rPr>
          <w:color w:val="auto"/>
        </w:rPr>
        <w:t xml:space="preserve"> is highly regulated, can only be prescribed in Opioid Treatment Programs (OTPs.). Methadone given in OTPs is dispensed by the OTP under special licensing from the Drug Enforcement Administration, Federal Government and State of New York. Dispensing a medication is what a pharmacy does and in the case of an OTP, the OTP is functioning in much the same way that a pharmacy would function under special licensing of both the OTP clinic and the OTP’s Medical Director. In an OTP, Methadone is prescribed, dispensed and administered at and by the clinic. For Opioid Use Disorder, Methadone cannot be prescribed from prescriber’s offices or clinics without these special licenses.</w:t>
      </w:r>
    </w:p>
    <w:p w14:paraId="31E46D48" w14:textId="6B3D42FA" w:rsidR="00D00398" w:rsidRPr="00611F43" w:rsidRDefault="009B5DF9" w:rsidP="009B5DF9">
      <w:pPr>
        <w:pStyle w:val="ListNumber"/>
        <w:numPr>
          <w:ilvl w:val="0"/>
          <w:numId w:val="0"/>
        </w:numPr>
        <w:ind w:left="60"/>
        <w:rPr>
          <w:color w:val="auto"/>
        </w:rPr>
      </w:pPr>
      <w:r w:rsidRPr="00611F43">
        <w:rPr>
          <w:b/>
          <w:bCs/>
          <w:color w:val="auto"/>
        </w:rPr>
        <w:t>Buprenorphine</w:t>
      </w:r>
      <w:r w:rsidR="00D00398" w:rsidRPr="00611F43">
        <w:rPr>
          <w:color w:val="auto"/>
        </w:rPr>
        <w:t xml:space="preserve"> can be dispensed from OTPs under the same regulations as Methadone; and it can be prescribed by physicians </w:t>
      </w:r>
      <w:r w:rsidR="00DE260C">
        <w:rPr>
          <w:color w:val="auto"/>
        </w:rPr>
        <w:t>that</w:t>
      </w:r>
      <w:r w:rsidR="00D00398" w:rsidRPr="00611F43">
        <w:rPr>
          <w:color w:val="auto"/>
        </w:rPr>
        <w:t xml:space="preserve"> have more training or specialty certification in addiction, as well as agree to more stringent requirements for treatment and measures to prevent diversion. </w:t>
      </w:r>
    </w:p>
    <w:p w14:paraId="23412013" w14:textId="024FE8D1" w:rsidR="00D00398" w:rsidRPr="00611F43" w:rsidRDefault="00D00398" w:rsidP="00D00398">
      <w:pPr>
        <w:pStyle w:val="ListNumber"/>
        <w:numPr>
          <w:ilvl w:val="0"/>
          <w:numId w:val="0"/>
        </w:numPr>
        <w:ind w:left="60"/>
        <w:rPr>
          <w:color w:val="auto"/>
        </w:rPr>
      </w:pPr>
      <w:r w:rsidRPr="00611F43">
        <w:rPr>
          <w:b/>
          <w:bCs/>
          <w:color w:val="auto"/>
        </w:rPr>
        <w:t>Naltrexone</w:t>
      </w:r>
      <w:r w:rsidRPr="00611F43">
        <w:rPr>
          <w:color w:val="auto"/>
        </w:rPr>
        <w:t xml:space="preserve"> requires no special licensing, waivers, or permissions, and can be prescribed by any person who can legally write a prescription in New York State. It comes in two forms, a pill for oral administration every day or every other day, and an injection which lasts 28 to 30 days, called long-acting injectable naltrexone</w:t>
      </w:r>
      <w:r w:rsidR="009B5DF9" w:rsidRPr="00611F43">
        <w:rPr>
          <w:color w:val="auto"/>
        </w:rPr>
        <w:t xml:space="preserve"> (Vivitrol)</w:t>
      </w:r>
      <w:r w:rsidRPr="00611F43">
        <w:rPr>
          <w:color w:val="auto"/>
        </w:rPr>
        <w:t xml:space="preserve">. There are no caps associated with naltrexone. </w:t>
      </w:r>
      <w:r w:rsidRPr="00611F43">
        <w:rPr>
          <w:color w:val="auto"/>
        </w:rPr>
        <w:lastRenderedPageBreak/>
        <w:t>The same preparations of naltrexone are approved for treating alcohol use disorder. Other than FDA approval, there are no federal regulations that apply to naltrexone.</w:t>
      </w:r>
    </w:p>
    <w:p w14:paraId="1478463B" w14:textId="77777777" w:rsidR="00D00398" w:rsidRPr="00611F43" w:rsidRDefault="00D00398" w:rsidP="00D00398">
      <w:pPr>
        <w:pStyle w:val="ListNumber"/>
        <w:numPr>
          <w:ilvl w:val="0"/>
          <w:numId w:val="0"/>
        </w:numPr>
        <w:ind w:left="60"/>
        <w:rPr>
          <w:color w:val="auto"/>
        </w:rPr>
      </w:pPr>
      <w:r w:rsidRPr="00611F43">
        <w:rPr>
          <w:color w:val="auto"/>
        </w:rPr>
        <w:t>A person with Opioid Use Disorder can be treated with only one of these medications at a time, although at different times in the course of her or his treatment/s he might take one or the other. The New York State Office of Addiction Services and Supports (OASAS) supports all approved medications for the treatment of Opioid Use Disorder in association with psychosocial therapies and spiritual treatment.</w:t>
      </w:r>
    </w:p>
    <w:p w14:paraId="66FD5B33" w14:textId="77777777" w:rsidR="009B5DF9" w:rsidRDefault="009B5DF9" w:rsidP="00D00398">
      <w:pPr>
        <w:pStyle w:val="ListNumber"/>
        <w:numPr>
          <w:ilvl w:val="0"/>
          <w:numId w:val="0"/>
        </w:numPr>
        <w:ind w:left="60"/>
      </w:pPr>
    </w:p>
    <w:p w14:paraId="652B0A4A" w14:textId="45A01CF8" w:rsidR="00D00398" w:rsidRDefault="00D00398" w:rsidP="00AC1159">
      <w:pPr>
        <w:rPr>
          <w:b/>
          <w:bCs/>
        </w:rPr>
      </w:pPr>
      <w:r>
        <w:rPr>
          <w:b/>
          <w:bCs/>
        </w:rPr>
        <w:t>A. M</w:t>
      </w:r>
      <w:r w:rsidR="009B5DF9">
        <w:rPr>
          <w:b/>
          <w:bCs/>
        </w:rPr>
        <w:t>ethadone</w:t>
      </w:r>
    </w:p>
    <w:p w14:paraId="3F36B650" w14:textId="77777777" w:rsidR="00D00398" w:rsidRPr="00611F43" w:rsidRDefault="00D00398" w:rsidP="00D00398">
      <w:pPr>
        <w:pStyle w:val="ListNumber"/>
        <w:numPr>
          <w:ilvl w:val="0"/>
          <w:numId w:val="0"/>
        </w:numPr>
        <w:ind w:left="60"/>
        <w:rPr>
          <w:color w:val="auto"/>
        </w:rPr>
      </w:pPr>
      <w:r w:rsidRPr="00611F43">
        <w:rPr>
          <w:color w:val="auto"/>
        </w:rPr>
        <w:t>Under the medical director’s supervision, Methadone is administered orally daily with strict program conditions and guidelines. Taken once daily, Methadone suppresses opiate withdrawal for 24-36 hours. Because Methadone is a full opiate agonist it is effective in eliminating withdrawal symptoms from opiate dependence. Methadone reduces cravings and blocks the high from opiates; it does not provide a euphoric rush. Consequently, Methadone clients do not experience the extreme highs and lows that result from changes in opiate blood levels. Methadone is not an effective treatment for dependence on other drugs.</w:t>
      </w:r>
    </w:p>
    <w:p w14:paraId="7FA4E173" w14:textId="7B33A5F5" w:rsidR="008176D6" w:rsidRDefault="008176D6" w:rsidP="00D00398">
      <w:pPr>
        <w:pStyle w:val="ListNumber"/>
        <w:numPr>
          <w:ilvl w:val="0"/>
          <w:numId w:val="0"/>
        </w:numPr>
        <w:ind w:left="60"/>
        <w:rPr>
          <w:color w:val="auto"/>
        </w:rPr>
      </w:pPr>
      <w:r>
        <w:rPr>
          <w:color w:val="auto"/>
        </w:rPr>
        <w:t xml:space="preserve">Initial dosing of Methadone is determined by the </w:t>
      </w:r>
      <w:r w:rsidR="00B76355">
        <w:rPr>
          <w:color w:val="auto"/>
        </w:rPr>
        <w:t>medical provider</w:t>
      </w:r>
      <w:r>
        <w:rPr>
          <w:color w:val="auto"/>
        </w:rPr>
        <w:t xml:space="preserve"> and is at least </w:t>
      </w:r>
      <w:r w:rsidR="00B76355">
        <w:rPr>
          <w:color w:val="auto"/>
        </w:rPr>
        <w:t xml:space="preserve">30 </w:t>
      </w:r>
      <w:r>
        <w:rPr>
          <w:color w:val="auto"/>
        </w:rPr>
        <w:t xml:space="preserve">mg but </w:t>
      </w:r>
      <w:r w:rsidR="00B76355">
        <w:rPr>
          <w:color w:val="auto"/>
        </w:rPr>
        <w:t>can be greater</w:t>
      </w:r>
      <w:r>
        <w:rPr>
          <w:color w:val="auto"/>
        </w:rPr>
        <w:t xml:space="preserve"> depending on the client’s severity of withdrawal symptoms. You will be required to stay for 30 minutes of medical observation in the clinic to make sure you do not have an adverse reaction</w:t>
      </w:r>
      <w:r w:rsidR="00611F43">
        <w:rPr>
          <w:color w:val="auto"/>
        </w:rPr>
        <w:t xml:space="preserve"> after your first dose</w:t>
      </w:r>
      <w:r>
        <w:rPr>
          <w:color w:val="auto"/>
        </w:rPr>
        <w:t>.</w:t>
      </w:r>
    </w:p>
    <w:p w14:paraId="5BF99091" w14:textId="25E0E4F0" w:rsidR="00611F43" w:rsidRPr="00611F43" w:rsidRDefault="00611F43" w:rsidP="00611F43">
      <w:pPr>
        <w:pStyle w:val="ListNumber"/>
        <w:numPr>
          <w:ilvl w:val="0"/>
          <w:numId w:val="0"/>
        </w:numPr>
        <w:rPr>
          <w:color w:val="auto"/>
        </w:rPr>
      </w:pPr>
      <w:r>
        <w:rPr>
          <w:color w:val="auto"/>
        </w:rPr>
        <w:t>Federal law requires that Methadone be given daily under observation for either six or seven days per week. Fusion Recovery is a six-day clinic, so you are observed Monday through Saturday and receive take-homes for Sundays and official holidays. As you progress through in treatment you may become eligible for take-home doses and less frequent clinic visits. A take-home request will be signed for each take-home earned.</w:t>
      </w:r>
    </w:p>
    <w:p w14:paraId="6DF27186" w14:textId="77777777" w:rsidR="00D00398" w:rsidRDefault="00D00398" w:rsidP="00D00398">
      <w:pPr>
        <w:pStyle w:val="ListNumber"/>
        <w:numPr>
          <w:ilvl w:val="0"/>
          <w:numId w:val="0"/>
        </w:numPr>
        <w:ind w:left="60"/>
        <w:rPr>
          <w:b/>
          <w:bCs/>
        </w:rPr>
      </w:pPr>
      <w:r w:rsidRPr="0066573D">
        <w:rPr>
          <w:b/>
          <w:bCs/>
        </w:rPr>
        <w:t>Possible adverse effects of Methadone</w:t>
      </w:r>
    </w:p>
    <w:p w14:paraId="08FA2316" w14:textId="77777777" w:rsidR="00D00398" w:rsidRPr="009B5DF9" w:rsidRDefault="00D00398">
      <w:pPr>
        <w:pStyle w:val="ListParagraph"/>
        <w:numPr>
          <w:ilvl w:val="0"/>
          <w:numId w:val="15"/>
        </w:numPr>
      </w:pPr>
      <w:r w:rsidRPr="009B5DF9">
        <w:t>Overdose: Methadone can cause death if too much is taken</w:t>
      </w:r>
    </w:p>
    <w:p w14:paraId="7F20AAC7" w14:textId="77777777" w:rsidR="00D00398" w:rsidRPr="009B5DF9" w:rsidRDefault="00D00398">
      <w:pPr>
        <w:pStyle w:val="ListParagraph"/>
        <w:numPr>
          <w:ilvl w:val="0"/>
          <w:numId w:val="15"/>
        </w:numPr>
      </w:pPr>
      <w:r w:rsidRPr="009B5DF9">
        <w:t>Overdose: Methadone can cause death is taken with alcohol or benzodiazepine or any substances (including natural supplements) that depresses the central nervous system.</w:t>
      </w:r>
    </w:p>
    <w:p w14:paraId="23447F71" w14:textId="5AF6E683" w:rsidR="00D00398" w:rsidRPr="009B5DF9" w:rsidRDefault="00D00398">
      <w:pPr>
        <w:pStyle w:val="ListParagraph"/>
        <w:numPr>
          <w:ilvl w:val="0"/>
          <w:numId w:val="15"/>
        </w:numPr>
      </w:pPr>
      <w:r w:rsidRPr="009B5DF9">
        <w:t>Life threatening complications can occur long after Methadone is ingested due to its long-acting ability. If you are taking other medications and</w:t>
      </w:r>
      <w:r w:rsidR="009B5DF9" w:rsidRPr="009B5DF9">
        <w:t>/or</w:t>
      </w:r>
      <w:r w:rsidRPr="009B5DF9">
        <w:t xml:space="preserve"> natural supplements you must report these to the medical staff.</w:t>
      </w:r>
    </w:p>
    <w:p w14:paraId="15D9E24D" w14:textId="77777777" w:rsidR="00D00398" w:rsidRPr="009B5DF9" w:rsidRDefault="00D00398">
      <w:pPr>
        <w:pStyle w:val="ListParagraph"/>
        <w:numPr>
          <w:ilvl w:val="0"/>
          <w:numId w:val="15"/>
        </w:numPr>
      </w:pPr>
      <w:r w:rsidRPr="009B5DF9">
        <w:t>Abrupt withdrawal from Methadone may cause immediate adverse effects, i.e. extreme discomfort, irritability, sweating.</w:t>
      </w:r>
    </w:p>
    <w:p w14:paraId="62CB6C0D" w14:textId="77777777" w:rsidR="00D00398" w:rsidRPr="009B5DF9" w:rsidRDefault="00D00398">
      <w:pPr>
        <w:pStyle w:val="ListParagraph"/>
        <w:numPr>
          <w:ilvl w:val="0"/>
          <w:numId w:val="15"/>
        </w:numPr>
      </w:pPr>
      <w:r w:rsidRPr="009B5DF9">
        <w:t>Minor symptoms including constipation and excessive sweating</w:t>
      </w:r>
    </w:p>
    <w:p w14:paraId="30FD24E3" w14:textId="77777777" w:rsidR="00D00398" w:rsidRDefault="00D00398" w:rsidP="00D00398">
      <w:pPr>
        <w:pStyle w:val="ListNumber"/>
        <w:numPr>
          <w:ilvl w:val="0"/>
          <w:numId w:val="0"/>
        </w:numPr>
        <w:ind w:left="60"/>
        <w:rPr>
          <w:b/>
          <w:bCs/>
        </w:rPr>
      </w:pPr>
      <w:r>
        <w:rPr>
          <w:b/>
          <w:bCs/>
        </w:rPr>
        <w:lastRenderedPageBreak/>
        <w:t>Other side effects may include:</w:t>
      </w:r>
    </w:p>
    <w:p w14:paraId="7A7CDD19" w14:textId="77777777" w:rsidR="00D00398" w:rsidRPr="009B5DF9" w:rsidRDefault="00D00398">
      <w:pPr>
        <w:pStyle w:val="ListParagraph"/>
        <w:numPr>
          <w:ilvl w:val="0"/>
          <w:numId w:val="15"/>
        </w:numPr>
      </w:pPr>
      <w:r w:rsidRPr="009B5DF9">
        <w:t>Anorexia</w:t>
      </w:r>
    </w:p>
    <w:p w14:paraId="233AF09C" w14:textId="77777777" w:rsidR="00D00398" w:rsidRPr="009B5DF9" w:rsidRDefault="00D00398">
      <w:pPr>
        <w:pStyle w:val="ListParagraph"/>
        <w:numPr>
          <w:ilvl w:val="0"/>
          <w:numId w:val="15"/>
        </w:numPr>
      </w:pPr>
      <w:r w:rsidRPr="009B5DF9">
        <w:t>Decreased interest in sex or sexual performance issues.</w:t>
      </w:r>
    </w:p>
    <w:p w14:paraId="272D5323" w14:textId="77777777" w:rsidR="00D00398" w:rsidRPr="009B5DF9" w:rsidRDefault="00D00398">
      <w:pPr>
        <w:pStyle w:val="ListParagraph"/>
        <w:numPr>
          <w:ilvl w:val="0"/>
          <w:numId w:val="15"/>
        </w:numPr>
      </w:pPr>
      <w:r w:rsidRPr="009B5DF9">
        <w:t>Drowsiness on high doses (once tolerance increases, and the dose is adjusted and stabilized, these symptoms usually disappear)</w:t>
      </w:r>
    </w:p>
    <w:p w14:paraId="10DB1D9D" w14:textId="77777777" w:rsidR="00D00398" w:rsidRPr="009B5DF9" w:rsidRDefault="00D00398">
      <w:pPr>
        <w:pStyle w:val="ListParagraph"/>
        <w:numPr>
          <w:ilvl w:val="0"/>
          <w:numId w:val="15"/>
        </w:numPr>
      </w:pPr>
      <w:r w:rsidRPr="009B5DF9">
        <w:t>Dry mouth</w:t>
      </w:r>
    </w:p>
    <w:p w14:paraId="410BD6D8" w14:textId="77777777" w:rsidR="00D00398" w:rsidRPr="009B5DF9" w:rsidRDefault="00D00398">
      <w:pPr>
        <w:pStyle w:val="ListParagraph"/>
        <w:numPr>
          <w:ilvl w:val="0"/>
          <w:numId w:val="15"/>
        </w:numPr>
      </w:pPr>
      <w:r w:rsidRPr="009B5DF9">
        <w:t>Insomnia or early awakening</w:t>
      </w:r>
    </w:p>
    <w:p w14:paraId="7E3DE8E4" w14:textId="77777777" w:rsidR="00D00398" w:rsidRPr="009B5DF9" w:rsidRDefault="00D00398">
      <w:pPr>
        <w:pStyle w:val="ListParagraph"/>
        <w:numPr>
          <w:ilvl w:val="0"/>
          <w:numId w:val="15"/>
        </w:numPr>
      </w:pPr>
      <w:r w:rsidRPr="009B5DF9">
        <w:t>Loss of menstrual cycle</w:t>
      </w:r>
    </w:p>
    <w:p w14:paraId="281C7D86" w14:textId="77777777" w:rsidR="00D00398" w:rsidRPr="009B5DF9" w:rsidRDefault="00D00398">
      <w:pPr>
        <w:pStyle w:val="ListParagraph"/>
        <w:numPr>
          <w:ilvl w:val="0"/>
          <w:numId w:val="15"/>
        </w:numPr>
      </w:pPr>
      <w:r w:rsidRPr="009B5DF9">
        <w:t>Low blood pressure</w:t>
      </w:r>
    </w:p>
    <w:p w14:paraId="6808398C" w14:textId="77777777" w:rsidR="00D00398" w:rsidRPr="009B5DF9" w:rsidRDefault="00D00398">
      <w:pPr>
        <w:pStyle w:val="ListParagraph"/>
        <w:numPr>
          <w:ilvl w:val="0"/>
          <w:numId w:val="15"/>
        </w:numPr>
      </w:pPr>
      <w:r w:rsidRPr="009B5DF9">
        <w:t xml:space="preserve">Nausea, vomiting and upset stomach (eating before dosing may help with these symptoms) </w:t>
      </w:r>
    </w:p>
    <w:p w14:paraId="1E948EB9" w14:textId="77777777" w:rsidR="00D00398" w:rsidRPr="009B5DF9" w:rsidRDefault="00D00398">
      <w:pPr>
        <w:pStyle w:val="ListParagraph"/>
        <w:numPr>
          <w:ilvl w:val="0"/>
          <w:numId w:val="15"/>
        </w:numPr>
      </w:pPr>
      <w:r w:rsidRPr="009B5DF9">
        <w:t>Risk of abuse, as with any controlled substances</w:t>
      </w:r>
    </w:p>
    <w:p w14:paraId="44340109" w14:textId="77777777" w:rsidR="00D00398" w:rsidRPr="009B5DF9" w:rsidRDefault="00D00398">
      <w:pPr>
        <w:pStyle w:val="ListParagraph"/>
        <w:numPr>
          <w:ilvl w:val="0"/>
          <w:numId w:val="15"/>
        </w:numPr>
      </w:pPr>
      <w:r w:rsidRPr="009B5DF9">
        <w:t>Skin rash and itching</w:t>
      </w:r>
    </w:p>
    <w:p w14:paraId="1A188818" w14:textId="77777777" w:rsidR="00D00398" w:rsidRPr="009B5DF9" w:rsidRDefault="00D00398">
      <w:pPr>
        <w:pStyle w:val="ListParagraph"/>
        <w:numPr>
          <w:ilvl w:val="0"/>
          <w:numId w:val="15"/>
        </w:numPr>
      </w:pPr>
      <w:r w:rsidRPr="009B5DF9">
        <w:t>Water retention (drinking water or other liquids may alleviate the retention)</w:t>
      </w:r>
    </w:p>
    <w:p w14:paraId="3A29C1AF" w14:textId="77777777" w:rsidR="00D00398" w:rsidRDefault="00D00398">
      <w:pPr>
        <w:pStyle w:val="ListParagraph"/>
        <w:numPr>
          <w:ilvl w:val="0"/>
          <w:numId w:val="15"/>
        </w:numPr>
        <w:rPr>
          <w:b/>
          <w:bCs/>
        </w:rPr>
      </w:pPr>
      <w:r w:rsidRPr="009B5DF9">
        <w:t>Weight gain</w:t>
      </w:r>
    </w:p>
    <w:p w14:paraId="38D95B52" w14:textId="42FEECAB" w:rsidR="008176D6" w:rsidRPr="00611F43" w:rsidRDefault="008176D6" w:rsidP="008176D6">
      <w:pPr>
        <w:pStyle w:val="ListNumber"/>
        <w:numPr>
          <w:ilvl w:val="0"/>
          <w:numId w:val="0"/>
        </w:numPr>
        <w:rPr>
          <w:color w:val="auto"/>
        </w:rPr>
      </w:pPr>
      <w:r w:rsidRPr="00611F43">
        <w:rPr>
          <w:color w:val="auto"/>
        </w:rPr>
        <w:t>Methadone may be used during pregnancy. Neonatal abstinence syndrome may occur in newborn infants of mothers who receive Methadone during pregnancy. No lasting harm to the fetus has been recognized because of this treatment. Individualized treatment decisions will be made balancing the risks and benefits of treatment with each pregnant client.</w:t>
      </w:r>
    </w:p>
    <w:p w14:paraId="059121EC" w14:textId="77777777" w:rsidR="008176D6" w:rsidRPr="00611F43" w:rsidRDefault="008176D6" w:rsidP="008176D6">
      <w:pPr>
        <w:pStyle w:val="ListNumber"/>
        <w:numPr>
          <w:ilvl w:val="0"/>
          <w:numId w:val="0"/>
        </w:numPr>
        <w:rPr>
          <w:color w:val="auto"/>
        </w:rPr>
      </w:pPr>
      <w:r w:rsidRPr="00611F43">
        <w:rPr>
          <w:color w:val="auto"/>
        </w:rPr>
        <w:t>Methadone does not impair cognitive functioning. It has no adverse effect on employability, intelligence, or mental capability. It is not intoxicating or sedating, nor does it interfere with ordinary activities like driving a car or operating machinery.</w:t>
      </w:r>
    </w:p>
    <w:p w14:paraId="6EF81C8E" w14:textId="110DABC9" w:rsidR="00D00398" w:rsidRPr="00611F43" w:rsidRDefault="00D00398" w:rsidP="00611F43">
      <w:pPr>
        <w:pStyle w:val="ListNumber"/>
        <w:numPr>
          <w:ilvl w:val="0"/>
          <w:numId w:val="0"/>
        </w:numPr>
        <w:rPr>
          <w:color w:val="auto"/>
        </w:rPr>
      </w:pPr>
      <w:r w:rsidRPr="00611F43">
        <w:rPr>
          <w:color w:val="auto"/>
        </w:rPr>
        <w:t xml:space="preserve">You may experience some side effects from Methadone, but they are usually minor and do not outweigh the benefits of treatment. Notify the nurses if you experience any side effects listed above. </w:t>
      </w:r>
    </w:p>
    <w:p w14:paraId="3F6C6674" w14:textId="77777777" w:rsidR="00D00398" w:rsidRDefault="00D00398" w:rsidP="00AC1159">
      <w:pPr>
        <w:rPr>
          <w:b/>
          <w:bCs/>
        </w:rPr>
      </w:pPr>
      <w:r>
        <w:rPr>
          <w:b/>
          <w:bCs/>
        </w:rPr>
        <w:t>B. BUPRENORPHINE</w:t>
      </w:r>
    </w:p>
    <w:p w14:paraId="3CA33526" w14:textId="77777777" w:rsidR="00D00398" w:rsidRPr="00611F43" w:rsidRDefault="00D00398" w:rsidP="00D00398">
      <w:pPr>
        <w:pStyle w:val="ListNumber"/>
        <w:numPr>
          <w:ilvl w:val="0"/>
          <w:numId w:val="0"/>
        </w:numPr>
        <w:rPr>
          <w:color w:val="auto"/>
        </w:rPr>
      </w:pPr>
      <w:r w:rsidRPr="00611F43">
        <w:rPr>
          <w:color w:val="auto"/>
        </w:rPr>
        <w:t>Buprenorphine is an opioid partial agonist that relieves withdrawal symptoms from opiate dependence. Buprenorphine will induce a syndrome of acute withdrawal in the presence of long-acting opioids or sufficient amounts of receptor-bound full agonists. Naloxone, an opioid antagonist, is sometimes added to Buprenorphine to make it less likely to be abused by injection.</w:t>
      </w:r>
    </w:p>
    <w:p w14:paraId="66315519" w14:textId="4F1DA3EC" w:rsidR="00611F43" w:rsidRPr="00175FC1" w:rsidRDefault="00611F43" w:rsidP="00D00398">
      <w:pPr>
        <w:pStyle w:val="ListNumber"/>
        <w:numPr>
          <w:ilvl w:val="0"/>
          <w:numId w:val="0"/>
        </w:numPr>
        <w:rPr>
          <w:color w:val="auto"/>
        </w:rPr>
      </w:pPr>
      <w:r>
        <w:rPr>
          <w:color w:val="auto"/>
        </w:rPr>
        <w:t xml:space="preserve">Buprenorphine distributed as a medication to assist treatment for addiction is in a film form that is dissolved under the tongue or as an injectable medication that stays in the system for a period of time (can be weekly or monthly). Prescriptions of film buprenorphine will be sent to the pharmacy of your choosing and any injectable medications will be ordered for you by the program.  Injections will be scheduled to be completed at the program by Fusion medical staff </w:t>
      </w:r>
      <w:r>
        <w:rPr>
          <w:color w:val="auto"/>
        </w:rPr>
        <w:lastRenderedPageBreak/>
        <w:t>and you will be required to stay for 30 minutes of medical observation in the clinic after the first injection to make sure you do not have an adverse reaction.</w:t>
      </w:r>
    </w:p>
    <w:p w14:paraId="5C3AD7CE" w14:textId="77777777" w:rsidR="00D00398" w:rsidRPr="00611F43" w:rsidRDefault="00D00398" w:rsidP="00D00398">
      <w:pPr>
        <w:pStyle w:val="ListNumber"/>
        <w:numPr>
          <w:ilvl w:val="0"/>
          <w:numId w:val="0"/>
        </w:numPr>
        <w:rPr>
          <w:color w:val="auto"/>
        </w:rPr>
      </w:pPr>
      <w:r w:rsidRPr="00611F43">
        <w:rPr>
          <w:color w:val="auto"/>
        </w:rPr>
        <w:t>Buprenorphine may be used during pregnancy. Neonatal abstinence syndrome may occur in newborn infants of mothers who receive Buprenorphine during pregnancy. No lasting harm to fetus has been recognized because of this treatment. Individualized treatment decisions will be made balancing the risks and benefits of treatment with each pregnant client. Available data are limited but have not shown any adverse reactions in breastfed infants. Buprenorphine and its metabolite Norbuprenorphine are present in low levels in human milk and infant urine.</w:t>
      </w:r>
    </w:p>
    <w:p w14:paraId="5875F458" w14:textId="77777777" w:rsidR="00D00398" w:rsidRDefault="00D00398" w:rsidP="00D00398">
      <w:pPr>
        <w:pStyle w:val="ListNumber"/>
        <w:numPr>
          <w:ilvl w:val="0"/>
          <w:numId w:val="0"/>
        </w:numPr>
        <w:rPr>
          <w:b/>
          <w:bCs/>
        </w:rPr>
      </w:pPr>
      <w:r w:rsidRPr="00E20363">
        <w:rPr>
          <w:b/>
          <w:bCs/>
        </w:rPr>
        <w:t>Possible adverse effects of Buprenorphine</w:t>
      </w:r>
    </w:p>
    <w:p w14:paraId="402BAD22" w14:textId="77777777" w:rsidR="00D00398" w:rsidRPr="009B5DF9" w:rsidRDefault="00D00398">
      <w:pPr>
        <w:pStyle w:val="ListParagraph"/>
        <w:numPr>
          <w:ilvl w:val="0"/>
          <w:numId w:val="15"/>
        </w:numPr>
      </w:pPr>
      <w:r w:rsidRPr="009B5DF9">
        <w:t>Buprenorphine may be contraindicated in clients who are hypersensitive to Buprenorphine or naloxone.</w:t>
      </w:r>
    </w:p>
    <w:p w14:paraId="669DD108" w14:textId="77777777" w:rsidR="00D00398" w:rsidRPr="009B5DF9" w:rsidRDefault="00D00398">
      <w:pPr>
        <w:pStyle w:val="ListParagraph"/>
        <w:numPr>
          <w:ilvl w:val="0"/>
          <w:numId w:val="15"/>
        </w:numPr>
      </w:pPr>
      <w:r w:rsidRPr="009B5DF9">
        <w:t>Respiratory problems, sleepiness, dizziness and problems with coordination, dependency or abuse, liver problems, allergic reaction, opioid withdrawal and/ or decrease in blood pressure.</w:t>
      </w:r>
    </w:p>
    <w:p w14:paraId="4F691E62" w14:textId="77777777" w:rsidR="00D00398" w:rsidRPr="009B5DF9" w:rsidRDefault="00D00398">
      <w:pPr>
        <w:pStyle w:val="ListParagraph"/>
        <w:numPr>
          <w:ilvl w:val="0"/>
          <w:numId w:val="15"/>
        </w:numPr>
      </w:pPr>
      <w:r w:rsidRPr="009B5DF9">
        <w:t>Caution is required to prescribe Buprenorphine to those clients with polysubstance use and those who have severe hepatic impairment, compromised respiratory problems, or have experienced a head injury.</w:t>
      </w:r>
    </w:p>
    <w:p w14:paraId="0EBF86D2" w14:textId="77777777" w:rsidR="00D00398" w:rsidRPr="009B5DF9" w:rsidRDefault="00D00398">
      <w:pPr>
        <w:pStyle w:val="ListParagraph"/>
        <w:numPr>
          <w:ilvl w:val="0"/>
          <w:numId w:val="15"/>
        </w:numPr>
      </w:pPr>
      <w:r w:rsidRPr="009B5DF9">
        <w:t xml:space="preserve">Significant respiratory depression and death have occurred in association with Buprenorphine, particularly administered intravenously or in combination with benzodiazepines or other central nervous system depressants (including alcohol). </w:t>
      </w:r>
    </w:p>
    <w:p w14:paraId="64A3EB5F" w14:textId="77777777" w:rsidR="00D00398" w:rsidRPr="009B5DF9" w:rsidRDefault="00D00398">
      <w:pPr>
        <w:pStyle w:val="ListParagraph"/>
        <w:numPr>
          <w:ilvl w:val="0"/>
          <w:numId w:val="15"/>
        </w:numPr>
      </w:pPr>
      <w:r w:rsidRPr="009B5DF9">
        <w:t>Drinking alcohol can lead to loss of consciousness or even death.</w:t>
      </w:r>
    </w:p>
    <w:p w14:paraId="7F89877B" w14:textId="77777777" w:rsidR="00D00398" w:rsidRPr="00175FC1" w:rsidRDefault="00D00398" w:rsidP="00D00398">
      <w:pPr>
        <w:pStyle w:val="ListNumber"/>
        <w:numPr>
          <w:ilvl w:val="0"/>
          <w:numId w:val="0"/>
        </w:numPr>
        <w:rPr>
          <w:color w:val="auto"/>
        </w:rPr>
      </w:pPr>
      <w:r w:rsidRPr="00175FC1">
        <w:rPr>
          <w:color w:val="auto"/>
        </w:rPr>
        <w:t>Tell your counselor, the nurses and or the medical director immediately if you experience any of these above-mentioned side effects.</w:t>
      </w:r>
    </w:p>
    <w:p w14:paraId="5A1F7012" w14:textId="77777777" w:rsidR="00D00398" w:rsidRDefault="00D00398" w:rsidP="00AC1159">
      <w:pPr>
        <w:rPr>
          <w:b/>
          <w:bCs/>
        </w:rPr>
      </w:pPr>
      <w:r>
        <w:rPr>
          <w:b/>
          <w:bCs/>
        </w:rPr>
        <w:t>C. VIVITROL</w:t>
      </w:r>
    </w:p>
    <w:p w14:paraId="031B3C15" w14:textId="77777777" w:rsidR="00D00398" w:rsidRPr="00611F43" w:rsidRDefault="00D00398" w:rsidP="00D00398">
      <w:pPr>
        <w:pStyle w:val="ListNumber"/>
        <w:numPr>
          <w:ilvl w:val="0"/>
          <w:numId w:val="0"/>
        </w:numPr>
        <w:rPr>
          <w:color w:val="auto"/>
        </w:rPr>
      </w:pPr>
      <w:r w:rsidRPr="00611F43">
        <w:rPr>
          <w:color w:val="auto"/>
        </w:rPr>
        <w:t xml:space="preserve">Anyone allergic to naltrexone is not a candidate for Vivitrol. Vivitrol should be used with caution in clients with liver disease, moderate to severe renal impairment and women of childbearing age. Discontinue use in the event of symptoms or signs of acute hepatitis as recommended by ordering physician. Also, Vivitrol should be used with caution in clients with thrombocytopenia (i.e. hemophilia, severe hepatic failure). These individuals should be monitored for 24 hours after naltrexone is administered. </w:t>
      </w:r>
    </w:p>
    <w:p w14:paraId="46DCA76D" w14:textId="77777777" w:rsidR="00D00398" w:rsidRPr="00611F43" w:rsidRDefault="00D00398" w:rsidP="00D00398">
      <w:pPr>
        <w:pStyle w:val="ListNumber"/>
        <w:numPr>
          <w:ilvl w:val="0"/>
          <w:numId w:val="0"/>
        </w:numPr>
        <w:rPr>
          <w:color w:val="auto"/>
        </w:rPr>
      </w:pPr>
      <w:r w:rsidRPr="00611F43">
        <w:rPr>
          <w:color w:val="auto"/>
        </w:rPr>
        <w:t xml:space="preserve">Vivitrol is an intramuscular medication administered once monthly by a physician or other health care professional. Any individual who is licensed to prescribe medicines may prescribe and/or order administration by qualified staff. The active ingredient in Vivitrol, naltrexone, is an opioid antagonist or blocker. It attaches to opioid receptor sites in the brain and prevents beta-endorphins and opioids (agonists) from reaching the receptors and producing a high. Naltrexone displaces opioids from receptors to which they have bound. This can precipitate </w:t>
      </w:r>
      <w:r w:rsidRPr="00611F43">
        <w:rPr>
          <w:color w:val="auto"/>
        </w:rPr>
        <w:lastRenderedPageBreak/>
        <w:t>severe, acute withdrawal symptoms if given to persons who haven’t cleared opioid from their system.</w:t>
      </w:r>
    </w:p>
    <w:p w14:paraId="1A0FEA7A" w14:textId="77777777" w:rsidR="00D00398" w:rsidRPr="00611F43" w:rsidRDefault="00D00398" w:rsidP="00D00398">
      <w:pPr>
        <w:pStyle w:val="ListNumber"/>
        <w:numPr>
          <w:ilvl w:val="0"/>
          <w:numId w:val="0"/>
        </w:numPr>
        <w:rPr>
          <w:color w:val="auto"/>
        </w:rPr>
      </w:pPr>
      <w:r w:rsidRPr="00611F43">
        <w:rPr>
          <w:color w:val="auto"/>
        </w:rPr>
        <w:t xml:space="preserve">Vivitrol works to treat alcohol and opioid dependence by blocking the pleasurable feelings produced by using them. Vivitrol targets two regions of the brain affected by addiction. The limbic region of the brain controls basic drives or urges, rewards, and pleasure. The role of the cortex region is responsible for decision-making, thinking, reasoning, and planning. </w:t>
      </w:r>
    </w:p>
    <w:p w14:paraId="6FA307AF" w14:textId="77777777" w:rsidR="00D00398" w:rsidRPr="00611F43" w:rsidRDefault="00D00398" w:rsidP="00D00398">
      <w:pPr>
        <w:pStyle w:val="ListNumber"/>
        <w:numPr>
          <w:ilvl w:val="0"/>
          <w:numId w:val="0"/>
        </w:numPr>
        <w:rPr>
          <w:color w:val="auto"/>
        </w:rPr>
      </w:pPr>
      <w:r w:rsidRPr="00611F43">
        <w:rPr>
          <w:color w:val="auto"/>
        </w:rPr>
        <w:t>Vivitrol is appropriate for clients who have been detoxified from opioids and who are being treated for co-occurring alcohol use disorder. Other good candidates include individuals with a short or less than severe addiction history or who must demonstrate to professional licensing boards or criminal justice officials that the risk of opioid use is low. Vivitrol has no potential for abuse and/ or diversion.</w:t>
      </w:r>
    </w:p>
    <w:p w14:paraId="5C6ABBB5" w14:textId="77777777" w:rsidR="00D00398" w:rsidRDefault="00D00398" w:rsidP="00D00398">
      <w:pPr>
        <w:pStyle w:val="ListNumber"/>
        <w:numPr>
          <w:ilvl w:val="0"/>
          <w:numId w:val="0"/>
        </w:numPr>
        <w:rPr>
          <w:b/>
          <w:bCs/>
        </w:rPr>
      </w:pPr>
      <w:r>
        <w:rPr>
          <w:b/>
          <w:bCs/>
        </w:rPr>
        <w:t>Possible adverse effects of Vivitrol</w:t>
      </w:r>
    </w:p>
    <w:p w14:paraId="05B007C4" w14:textId="77777777" w:rsidR="00D00398" w:rsidRPr="009B5DF9" w:rsidRDefault="00D00398">
      <w:pPr>
        <w:pStyle w:val="ListParagraph"/>
        <w:numPr>
          <w:ilvl w:val="0"/>
          <w:numId w:val="15"/>
        </w:numPr>
      </w:pPr>
      <w:r w:rsidRPr="009B5DF9">
        <w:t>Clients treated with naltrexone will have reduced tolerance to opioids.</w:t>
      </w:r>
    </w:p>
    <w:p w14:paraId="4D26AB17" w14:textId="77777777" w:rsidR="00D00398" w:rsidRPr="009B5DF9" w:rsidRDefault="00D00398">
      <w:pPr>
        <w:pStyle w:val="ListParagraph"/>
        <w:numPr>
          <w:ilvl w:val="0"/>
          <w:numId w:val="15"/>
        </w:numPr>
      </w:pPr>
      <w:r w:rsidRPr="009B5DF9">
        <w:t>Subsequent exposure to previously tolerated or even smaller amounts of opioids may result in life-threatening opioid intoxication and overdose if previously tolerated larger doses are administered.</w:t>
      </w:r>
    </w:p>
    <w:p w14:paraId="5F7E76BB" w14:textId="77777777" w:rsidR="00D00398" w:rsidRPr="009B5DF9" w:rsidRDefault="00D00398">
      <w:pPr>
        <w:pStyle w:val="ListParagraph"/>
        <w:numPr>
          <w:ilvl w:val="0"/>
          <w:numId w:val="15"/>
        </w:numPr>
      </w:pPr>
      <w:r w:rsidRPr="009B5DF9">
        <w:t>Overdose may result from trying to overcome the opioid blockade effects of naltrexone.</w:t>
      </w:r>
    </w:p>
    <w:p w14:paraId="119DDAEC" w14:textId="77777777" w:rsidR="00D00398" w:rsidRPr="009B5DF9" w:rsidRDefault="00D00398">
      <w:pPr>
        <w:pStyle w:val="ListParagraph"/>
        <w:numPr>
          <w:ilvl w:val="0"/>
          <w:numId w:val="15"/>
        </w:numPr>
      </w:pPr>
      <w:r w:rsidRPr="009B5DF9">
        <w:t>Severe reaction at the injection site</w:t>
      </w:r>
    </w:p>
    <w:p w14:paraId="6FE4544B" w14:textId="77777777" w:rsidR="00D00398" w:rsidRPr="009B5DF9" w:rsidRDefault="00D00398">
      <w:pPr>
        <w:pStyle w:val="ListParagraph"/>
        <w:numPr>
          <w:ilvl w:val="0"/>
          <w:numId w:val="15"/>
        </w:numPr>
      </w:pPr>
      <w:r w:rsidRPr="009B5DF9">
        <w:t>Sudden opiate withdrawal</w:t>
      </w:r>
    </w:p>
    <w:p w14:paraId="2582A2CE" w14:textId="77777777" w:rsidR="00D00398" w:rsidRPr="009B5DF9" w:rsidRDefault="00D00398">
      <w:pPr>
        <w:pStyle w:val="ListParagraph"/>
        <w:numPr>
          <w:ilvl w:val="0"/>
          <w:numId w:val="15"/>
        </w:numPr>
      </w:pPr>
      <w:r w:rsidRPr="009B5DF9">
        <w:t>Liver damage</w:t>
      </w:r>
    </w:p>
    <w:p w14:paraId="1FAC7F7F" w14:textId="77777777" w:rsidR="00D00398" w:rsidRPr="009B5DF9" w:rsidRDefault="00D00398">
      <w:pPr>
        <w:pStyle w:val="ListParagraph"/>
        <w:numPr>
          <w:ilvl w:val="0"/>
          <w:numId w:val="15"/>
        </w:numPr>
      </w:pPr>
      <w:r w:rsidRPr="009B5DF9">
        <w:t>Allergic pneumonia</w:t>
      </w:r>
    </w:p>
    <w:p w14:paraId="37A3E9A1" w14:textId="77777777" w:rsidR="00D00398" w:rsidRPr="009B5DF9" w:rsidRDefault="00D00398">
      <w:pPr>
        <w:pStyle w:val="ListParagraph"/>
        <w:numPr>
          <w:ilvl w:val="0"/>
          <w:numId w:val="15"/>
        </w:numPr>
      </w:pPr>
      <w:r w:rsidRPr="009B5DF9">
        <w:t>Serious allergic reactions</w:t>
      </w:r>
    </w:p>
    <w:p w14:paraId="26468BB3" w14:textId="77777777" w:rsidR="00D00398" w:rsidRPr="009B5DF9" w:rsidRDefault="00D00398">
      <w:pPr>
        <w:pStyle w:val="ListParagraph"/>
        <w:numPr>
          <w:ilvl w:val="0"/>
          <w:numId w:val="15"/>
        </w:numPr>
      </w:pPr>
      <w:r w:rsidRPr="009B5DF9">
        <w:t>Other side effects may include:</w:t>
      </w:r>
    </w:p>
    <w:p w14:paraId="7B6A0D11" w14:textId="77777777" w:rsidR="00D00398" w:rsidRPr="009B5DF9" w:rsidRDefault="00D00398">
      <w:pPr>
        <w:pStyle w:val="ListParagraph"/>
        <w:numPr>
          <w:ilvl w:val="0"/>
          <w:numId w:val="15"/>
        </w:numPr>
      </w:pPr>
      <w:r w:rsidRPr="009B5DF9">
        <w:t>Cold symptoms</w:t>
      </w:r>
    </w:p>
    <w:p w14:paraId="2E844A79" w14:textId="77777777" w:rsidR="00D00398" w:rsidRPr="009B5DF9" w:rsidRDefault="00D00398">
      <w:pPr>
        <w:pStyle w:val="ListParagraph"/>
        <w:numPr>
          <w:ilvl w:val="0"/>
          <w:numId w:val="15"/>
        </w:numPr>
      </w:pPr>
      <w:r w:rsidRPr="009B5DF9">
        <w:t>Decreased appetite</w:t>
      </w:r>
    </w:p>
    <w:p w14:paraId="2429E331" w14:textId="77777777" w:rsidR="00D00398" w:rsidRPr="009B5DF9" w:rsidRDefault="00D00398">
      <w:pPr>
        <w:pStyle w:val="ListParagraph"/>
        <w:numPr>
          <w:ilvl w:val="0"/>
          <w:numId w:val="15"/>
        </w:numPr>
      </w:pPr>
      <w:r w:rsidRPr="009B5DF9">
        <w:t>Depressed Mood</w:t>
      </w:r>
    </w:p>
    <w:p w14:paraId="75FDA377" w14:textId="77777777" w:rsidR="00D00398" w:rsidRPr="009B5DF9" w:rsidRDefault="00D00398">
      <w:pPr>
        <w:pStyle w:val="ListParagraph"/>
        <w:numPr>
          <w:ilvl w:val="0"/>
          <w:numId w:val="15"/>
        </w:numPr>
      </w:pPr>
      <w:r w:rsidRPr="009B5DF9">
        <w:t>Dizziness</w:t>
      </w:r>
    </w:p>
    <w:p w14:paraId="1E75162D" w14:textId="77777777" w:rsidR="00D00398" w:rsidRPr="009B5DF9" w:rsidRDefault="00D00398">
      <w:pPr>
        <w:pStyle w:val="ListParagraph"/>
        <w:numPr>
          <w:ilvl w:val="0"/>
          <w:numId w:val="15"/>
        </w:numPr>
      </w:pPr>
      <w:r w:rsidRPr="009B5DF9">
        <w:t>Headache</w:t>
      </w:r>
    </w:p>
    <w:p w14:paraId="0CE07F43" w14:textId="77777777" w:rsidR="00D00398" w:rsidRPr="009B5DF9" w:rsidRDefault="00D00398">
      <w:pPr>
        <w:pStyle w:val="ListParagraph"/>
        <w:numPr>
          <w:ilvl w:val="0"/>
          <w:numId w:val="15"/>
        </w:numPr>
      </w:pPr>
      <w:r w:rsidRPr="009B5DF9">
        <w:t>Muscle cramps</w:t>
      </w:r>
    </w:p>
    <w:p w14:paraId="1B7EE8B0" w14:textId="77777777" w:rsidR="00D00398" w:rsidRPr="009B5DF9" w:rsidRDefault="00D00398">
      <w:pPr>
        <w:pStyle w:val="ListParagraph"/>
        <w:numPr>
          <w:ilvl w:val="0"/>
          <w:numId w:val="15"/>
        </w:numPr>
      </w:pPr>
      <w:r w:rsidRPr="009B5DF9">
        <w:t>Nausea</w:t>
      </w:r>
    </w:p>
    <w:p w14:paraId="6EB15604" w14:textId="77777777" w:rsidR="00D00398" w:rsidRPr="009B5DF9" w:rsidRDefault="00D00398">
      <w:pPr>
        <w:pStyle w:val="ListParagraph"/>
        <w:numPr>
          <w:ilvl w:val="0"/>
          <w:numId w:val="15"/>
        </w:numPr>
      </w:pPr>
      <w:r w:rsidRPr="009B5DF9">
        <w:t>Painful joints</w:t>
      </w:r>
    </w:p>
    <w:p w14:paraId="243DCC7E" w14:textId="77777777" w:rsidR="00D00398" w:rsidRPr="009B5DF9" w:rsidRDefault="00D00398">
      <w:pPr>
        <w:pStyle w:val="ListParagraph"/>
        <w:numPr>
          <w:ilvl w:val="0"/>
          <w:numId w:val="15"/>
        </w:numPr>
      </w:pPr>
      <w:r w:rsidRPr="009B5DF9">
        <w:t>Sleepiness</w:t>
      </w:r>
    </w:p>
    <w:p w14:paraId="71DACD1F" w14:textId="77777777" w:rsidR="00D00398" w:rsidRPr="009B5DF9" w:rsidRDefault="00D00398">
      <w:pPr>
        <w:pStyle w:val="ListParagraph"/>
        <w:numPr>
          <w:ilvl w:val="0"/>
          <w:numId w:val="15"/>
        </w:numPr>
      </w:pPr>
      <w:r w:rsidRPr="009B5DF9">
        <w:t>Toothaches</w:t>
      </w:r>
    </w:p>
    <w:p w14:paraId="71FC05CF" w14:textId="77777777" w:rsidR="00D00398" w:rsidRPr="009B5DF9" w:rsidRDefault="00D00398">
      <w:pPr>
        <w:pStyle w:val="ListParagraph"/>
        <w:numPr>
          <w:ilvl w:val="0"/>
          <w:numId w:val="15"/>
        </w:numPr>
      </w:pPr>
      <w:r w:rsidRPr="009B5DF9">
        <w:t>Trouble sleeping</w:t>
      </w:r>
    </w:p>
    <w:p w14:paraId="6C77D799" w14:textId="77777777" w:rsidR="00D00398" w:rsidRPr="009B5DF9" w:rsidRDefault="00D00398">
      <w:pPr>
        <w:pStyle w:val="ListParagraph"/>
        <w:numPr>
          <w:ilvl w:val="0"/>
          <w:numId w:val="15"/>
        </w:numPr>
      </w:pPr>
      <w:r w:rsidRPr="009B5DF9">
        <w:t>Vomiting</w:t>
      </w:r>
    </w:p>
    <w:p w14:paraId="57786CF1" w14:textId="3DF6C472" w:rsidR="00D00398" w:rsidRDefault="00D00398" w:rsidP="008176D6">
      <w:pPr>
        <w:pStyle w:val="ListNumber"/>
        <w:numPr>
          <w:ilvl w:val="0"/>
          <w:numId w:val="0"/>
        </w:numPr>
      </w:pPr>
      <w:r>
        <w:t xml:space="preserve"> </w:t>
      </w:r>
    </w:p>
    <w:p w14:paraId="41F8309E" w14:textId="77777777" w:rsidR="00D00398" w:rsidRDefault="00D00398" w:rsidP="00D00398">
      <w:pPr>
        <w:ind w:left="360"/>
        <w:jc w:val="center"/>
        <w:rPr>
          <w:b/>
          <w:bCs/>
        </w:rPr>
      </w:pPr>
      <w:r>
        <w:rPr>
          <w:b/>
          <w:bCs/>
        </w:rPr>
        <w:lastRenderedPageBreak/>
        <w:t>Pregnancy and MAT</w:t>
      </w:r>
    </w:p>
    <w:p w14:paraId="696DF9C8" w14:textId="77777777" w:rsidR="00D00398" w:rsidRDefault="00D00398" w:rsidP="00D00398">
      <w:pPr>
        <w:ind w:left="360"/>
      </w:pPr>
      <w:r>
        <w:t>Pregnant women with opioid dependence are at risk for various medical complications that are directly or indirectly related to chronic substance abuse. Narcotic abuse is associated with various psychiatric conditions, notably depression and suicide, as well as malnutrition or anemia. Such factors are thought to negatively affect the fetus and may contribute to increased rates of numerous obstetric complications such as spontaneous abortion, premature delivery, pre-eclampsia, premature rupture of membranes, septic thrombophlebitis, and postpartum hemorrhage.  To minimize the effects of these medical and obstetric complications, Methadone maintenance therapy for substance withdrawal is currently the accepted standard treatment for opioid-dependent pregnant women, as recommended by the Center for Substance Abuse Treatment, The National Institutes of Health, and the World Health Organization.</w:t>
      </w:r>
    </w:p>
    <w:p w14:paraId="3B146C6F" w14:textId="77777777" w:rsidR="00D00398" w:rsidRDefault="00D00398">
      <w:pPr>
        <w:pStyle w:val="ListParagraph"/>
        <w:numPr>
          <w:ilvl w:val="0"/>
          <w:numId w:val="16"/>
        </w:numPr>
      </w:pPr>
      <w:r>
        <w:t>Pregnant clients must provide documentation of pregnancy and/ fetal viability within 7 days of pregnancy confirmation.  It is ultimately the client’s responsibility to notify the program when she is pregnant.</w:t>
      </w:r>
    </w:p>
    <w:p w14:paraId="1990C50E" w14:textId="77777777" w:rsidR="00D00398" w:rsidRDefault="00D00398">
      <w:pPr>
        <w:pStyle w:val="ListParagraph"/>
        <w:numPr>
          <w:ilvl w:val="0"/>
          <w:numId w:val="16"/>
        </w:numPr>
      </w:pPr>
      <w:r>
        <w:t>You are expected to inform the Fusion Recovery medical staff that you are pregnant so they can consult and coordinate dosing and treatment with your OB/GYN based on your need and fetal development.</w:t>
      </w:r>
    </w:p>
    <w:p w14:paraId="61E45EAF" w14:textId="77777777" w:rsidR="00D00398" w:rsidRDefault="00D00398">
      <w:pPr>
        <w:pStyle w:val="ListParagraph"/>
        <w:numPr>
          <w:ilvl w:val="0"/>
          <w:numId w:val="16"/>
        </w:numPr>
      </w:pPr>
      <w:r>
        <w:t>You are expected to sign a consent to allow Fusion Recovery to notify your OB/GYN, pediatrician and birthing hospital of your presence in MAT treatment, current medication dose and risks involved with medication, monthly drug screens, treatment compliance issues, and continued illicit drug use.</w:t>
      </w:r>
    </w:p>
    <w:p w14:paraId="11114D0C" w14:textId="2F1B4A09" w:rsidR="00D00398" w:rsidRDefault="00D00398">
      <w:pPr>
        <w:pStyle w:val="ListParagraph"/>
        <w:numPr>
          <w:ilvl w:val="0"/>
          <w:numId w:val="16"/>
        </w:numPr>
      </w:pPr>
      <w:r>
        <w:t xml:space="preserve">You are expected to </w:t>
      </w:r>
      <w:r w:rsidR="008176D6">
        <w:t>complete a plan of safe care with your primary counselor in order to address the MAT and recovery implications of pregnancy.</w:t>
      </w:r>
    </w:p>
    <w:p w14:paraId="5FC5874B" w14:textId="77777777" w:rsidR="00D00398" w:rsidRDefault="00D00398">
      <w:pPr>
        <w:pStyle w:val="ListParagraph"/>
        <w:numPr>
          <w:ilvl w:val="0"/>
          <w:numId w:val="16"/>
        </w:numPr>
      </w:pPr>
      <w:r>
        <w:t>You will receive literature regarding the effect of medication on the unborn child and it will be documented in your chart that the literature was given to you. You will be reminded that MAT treatments are voluntary, and you will sign a consent to be treated with Methadone or Buprenorphine. The decision to remain on opioid substitution therapy remains with you.</w:t>
      </w:r>
    </w:p>
    <w:p w14:paraId="37E44274" w14:textId="4B616C8F" w:rsidR="00D00398" w:rsidRDefault="00D00398" w:rsidP="00D00398">
      <w:pPr>
        <w:ind w:left="540"/>
      </w:pPr>
      <w:r>
        <w:t>No drug or medicine is safe during pregnancy. Methadone may change a woman’s menstrual cycle, but she can still get pregnant. Methadone is the preferred treatment for women who are opiate dependent and become pregnant since it has not been shown to harm infants. The physiology of a woman is different during pregnancy and affects how medication work in the body</w:t>
      </w:r>
      <w:r w:rsidR="008176D6">
        <w:t xml:space="preserve"> so you will likely have more frequent appointments with medical staff</w:t>
      </w:r>
      <w:r>
        <w:t>. Continuing to use illicit substances while pregnant can have severe health consequences, including death, for you and your baby, and continued use may be reported to Child Protective Services.</w:t>
      </w:r>
    </w:p>
    <w:p w14:paraId="4AD63FCB" w14:textId="0AE8E982" w:rsidR="00D00398" w:rsidRDefault="00D00398" w:rsidP="00D00398">
      <w:pPr>
        <w:ind w:left="540"/>
      </w:pPr>
      <w:r>
        <w:lastRenderedPageBreak/>
        <w:t xml:space="preserve">A pregnant woman on MAT who returns to opioid use will have the effectiveness of the dose of her medication, and possibly the choice of medication, evaluated. She may also benefit from receiving a higher level of care, such as residential treatment, as long as her pharmacotherapy is not disrupted. A pregnant woman who is experiencing cravings or withdrawal will be evaluated for a possible medication dose or schedule change to prevent a possible return to substance use. Changing from one opioid agonist to another is rarely, if ever, warranted </w:t>
      </w:r>
      <w:r w:rsidR="008176D6">
        <w:t>based on</w:t>
      </w:r>
      <w:r>
        <w:t xml:space="preserve"> cravings or unrelieved withdrawal alone.  Changing the type of pharmacotherapy (buprenorphine to methadone or vice versa) cannot be specially recommended or advised against based on current evidence but may be considered if the interventions recommended above are fully implemented but unsuccessful, particularly if the woman reports continued cravings in the absence of unrelieved withdrawal and is receiving maximum behavioral and social supports. Most importantly, the woman will be reassured and encouraged to remain in treatment and work to stop the opioid use.</w:t>
      </w:r>
    </w:p>
    <w:p w14:paraId="185A3EEB" w14:textId="77777777" w:rsidR="00D00398" w:rsidRDefault="00D00398" w:rsidP="00D00398">
      <w:pPr>
        <w:ind w:left="540"/>
        <w:rPr>
          <w:b/>
          <w:bCs/>
        </w:rPr>
      </w:pPr>
      <w:r w:rsidRPr="00DA69CD">
        <w:rPr>
          <w:b/>
          <w:bCs/>
        </w:rPr>
        <w:t xml:space="preserve">Return to Other Substance Use During Pregnancy </w:t>
      </w:r>
    </w:p>
    <w:p w14:paraId="592C6DA0" w14:textId="353D870D" w:rsidR="00D00398" w:rsidRDefault="00D00398" w:rsidP="00D00398">
      <w:pPr>
        <w:ind w:left="540"/>
      </w:pPr>
      <w:r>
        <w:t>A pregnant woman on MAT who has concurrent other substances use or who returns to use of one or more other substances will receive (1) behavioral interventions targeting the use of the substance(s) and (2) pharmacotherapy, if available and safe in pregnancy for the substances (s) she is using. The woman experiencing a return to other substance use may also benefit from a higher level of care (i.e., residential</w:t>
      </w:r>
      <w:r w:rsidR="008176D6">
        <w:t xml:space="preserve"> or inpatient</w:t>
      </w:r>
      <w:r>
        <w:t xml:space="preserve"> treatment) provided her MAT is not disrupted.</w:t>
      </w:r>
    </w:p>
    <w:p w14:paraId="18766C11" w14:textId="77777777" w:rsidR="00D00398" w:rsidRDefault="00D00398" w:rsidP="00D00398">
      <w:pPr>
        <w:ind w:left="540"/>
      </w:pPr>
      <w:r>
        <w:t>Multiple Substance Use Concerns for Pregnant Women and Infants</w:t>
      </w:r>
    </w:p>
    <w:p w14:paraId="121C92F5" w14:textId="77777777" w:rsidR="00D00398" w:rsidRDefault="00D00398" w:rsidP="00D00398">
      <w:pPr>
        <w:ind w:left="540"/>
      </w:pPr>
      <w:r>
        <w:t>Women who misuse benzodiazepines, amphetamines, or other pharmacotherapies-whether licitly or illicitly obtained-or who have a substance use disorder (SUD) involving alcohol, cocaine, cannabis, or tobacco will receive education on, and have the opportunity to discuss, the known or suspected impact of prenatal exposure to these substances on the fetus and their own health. A woman with an SUD will be offered appropriate evidenced based behavioral, pharmacological, and social services to support the discontinuation of these substances, especially nicotine and alcohol. Your primary counselor will take this opportunity to discuss the known associated risk of neonatal abstinence syndrome (NAS), developmental problems, and impact on breastfeeding when using these substances.</w:t>
      </w:r>
    </w:p>
    <w:p w14:paraId="6D3E7F1E" w14:textId="77777777" w:rsidR="00D00398" w:rsidRDefault="00D00398" w:rsidP="00D00398">
      <w:pPr>
        <w:ind w:left="540"/>
        <w:rPr>
          <w:b/>
          <w:bCs/>
        </w:rPr>
      </w:pPr>
      <w:r>
        <w:rPr>
          <w:b/>
          <w:bCs/>
        </w:rPr>
        <w:t>Neonatal Abstinence Syndrome</w:t>
      </w:r>
    </w:p>
    <w:p w14:paraId="119F91FF" w14:textId="77777777" w:rsidR="00D00398" w:rsidRDefault="00D00398" w:rsidP="00D00398">
      <w:pPr>
        <w:ind w:left="540"/>
      </w:pPr>
      <w:r>
        <w:t xml:space="preserve">Neonatal Abstinence Syndrome (NAS) is the term used to describe a group of problems that occur to the newborn that was exposed to addictive medicine (or illicit substances) while the mother was pregnant. Methadone, like other medications, passes through the placenta and reaches the baby. The baby becomes addicted along with the mother. At birth, the baby is still dependent on the methadone and experiences withdrawal because it </w:t>
      </w:r>
      <w:r>
        <w:lastRenderedPageBreak/>
        <w:t>is no longer getting the methadone (or illicit substances) after birth. NAS symptoms can begin 1-3 days after birth but typically takes 5-10 days to appear. Symptoms may include:</w:t>
      </w:r>
    </w:p>
    <w:p w14:paraId="31B08CEC" w14:textId="77777777" w:rsidR="00D00398" w:rsidRDefault="00D00398">
      <w:pPr>
        <w:pStyle w:val="ListParagraph"/>
        <w:numPr>
          <w:ilvl w:val="0"/>
          <w:numId w:val="17"/>
        </w:numPr>
      </w:pPr>
      <w:r>
        <w:t>Blotchy skin coloring (mottling)</w:t>
      </w:r>
    </w:p>
    <w:p w14:paraId="5D1B16CB" w14:textId="77777777" w:rsidR="00D00398" w:rsidRDefault="00D00398">
      <w:pPr>
        <w:pStyle w:val="ListParagraph"/>
        <w:numPr>
          <w:ilvl w:val="0"/>
          <w:numId w:val="17"/>
        </w:numPr>
      </w:pPr>
      <w:r>
        <w:t>Diarrhea</w:t>
      </w:r>
    </w:p>
    <w:p w14:paraId="73465A83" w14:textId="77777777" w:rsidR="00D00398" w:rsidRDefault="00D00398">
      <w:pPr>
        <w:pStyle w:val="ListParagraph"/>
        <w:numPr>
          <w:ilvl w:val="0"/>
          <w:numId w:val="17"/>
        </w:numPr>
      </w:pPr>
      <w:r>
        <w:t>Excessive or high-pitched crying</w:t>
      </w:r>
    </w:p>
    <w:p w14:paraId="6D0B3B96" w14:textId="77777777" w:rsidR="00D00398" w:rsidRDefault="00D00398">
      <w:pPr>
        <w:pStyle w:val="ListParagraph"/>
        <w:numPr>
          <w:ilvl w:val="0"/>
          <w:numId w:val="17"/>
        </w:numPr>
      </w:pPr>
      <w:r>
        <w:t>Fever</w:t>
      </w:r>
    </w:p>
    <w:p w14:paraId="62F9EE30" w14:textId="77777777" w:rsidR="00D00398" w:rsidRDefault="00D00398">
      <w:pPr>
        <w:pStyle w:val="ListParagraph"/>
        <w:numPr>
          <w:ilvl w:val="0"/>
          <w:numId w:val="17"/>
        </w:numPr>
      </w:pPr>
      <w:r>
        <w:t>Hyperactive reflexes</w:t>
      </w:r>
    </w:p>
    <w:p w14:paraId="29339BA7" w14:textId="77777777" w:rsidR="00D00398" w:rsidRDefault="00D00398">
      <w:pPr>
        <w:pStyle w:val="ListParagraph"/>
        <w:numPr>
          <w:ilvl w:val="0"/>
          <w:numId w:val="17"/>
        </w:numPr>
      </w:pPr>
      <w:r>
        <w:t>Increased muscle tone</w:t>
      </w:r>
    </w:p>
    <w:p w14:paraId="3BE724F1" w14:textId="77777777" w:rsidR="00D00398" w:rsidRDefault="00D00398">
      <w:pPr>
        <w:pStyle w:val="ListParagraph"/>
        <w:numPr>
          <w:ilvl w:val="0"/>
          <w:numId w:val="17"/>
        </w:numPr>
      </w:pPr>
      <w:r>
        <w:t>Poor feeding</w:t>
      </w:r>
    </w:p>
    <w:p w14:paraId="2D811223" w14:textId="77777777" w:rsidR="00D00398" w:rsidRDefault="00D00398">
      <w:pPr>
        <w:pStyle w:val="ListParagraph"/>
        <w:numPr>
          <w:ilvl w:val="0"/>
          <w:numId w:val="17"/>
        </w:numPr>
      </w:pPr>
      <w:r>
        <w:t>Seizures</w:t>
      </w:r>
    </w:p>
    <w:p w14:paraId="4BA1815C" w14:textId="77777777" w:rsidR="00D00398" w:rsidRDefault="00D00398">
      <w:pPr>
        <w:pStyle w:val="ListParagraph"/>
        <w:numPr>
          <w:ilvl w:val="0"/>
          <w:numId w:val="17"/>
        </w:numPr>
      </w:pPr>
      <w:r>
        <w:t>Slow weight gain</w:t>
      </w:r>
    </w:p>
    <w:p w14:paraId="0DEC8C8D" w14:textId="77777777" w:rsidR="00D00398" w:rsidRDefault="00D00398">
      <w:pPr>
        <w:pStyle w:val="ListParagraph"/>
        <w:numPr>
          <w:ilvl w:val="0"/>
          <w:numId w:val="17"/>
        </w:numPr>
      </w:pPr>
      <w:r>
        <w:t>Sweating</w:t>
      </w:r>
    </w:p>
    <w:p w14:paraId="46D8C6CD" w14:textId="77777777" w:rsidR="00D00398" w:rsidRDefault="00D00398">
      <w:pPr>
        <w:pStyle w:val="ListParagraph"/>
        <w:numPr>
          <w:ilvl w:val="0"/>
          <w:numId w:val="17"/>
        </w:numPr>
      </w:pPr>
      <w:r>
        <w:t>Vomiting</w:t>
      </w:r>
    </w:p>
    <w:p w14:paraId="054F8E8D" w14:textId="77777777" w:rsidR="00D00398" w:rsidRDefault="00D00398">
      <w:pPr>
        <w:pStyle w:val="ListParagraph"/>
        <w:numPr>
          <w:ilvl w:val="0"/>
          <w:numId w:val="17"/>
        </w:numPr>
      </w:pPr>
      <w:r>
        <w:t>Irritability</w:t>
      </w:r>
    </w:p>
    <w:p w14:paraId="581C7629" w14:textId="77777777" w:rsidR="00D00398" w:rsidRDefault="00D00398">
      <w:pPr>
        <w:pStyle w:val="ListParagraph"/>
        <w:numPr>
          <w:ilvl w:val="0"/>
          <w:numId w:val="17"/>
        </w:numPr>
      </w:pPr>
      <w:r>
        <w:t>Rapid breathing</w:t>
      </w:r>
    </w:p>
    <w:p w14:paraId="56EDF2E9" w14:textId="77777777" w:rsidR="00D00398" w:rsidRDefault="00D00398">
      <w:pPr>
        <w:pStyle w:val="ListParagraph"/>
        <w:numPr>
          <w:ilvl w:val="0"/>
          <w:numId w:val="17"/>
        </w:numPr>
      </w:pPr>
      <w:r>
        <w:t>Sleep problems</w:t>
      </w:r>
    </w:p>
    <w:p w14:paraId="018CC3B1" w14:textId="77777777" w:rsidR="00D00398" w:rsidRDefault="00D00398">
      <w:pPr>
        <w:pStyle w:val="ListParagraph"/>
        <w:numPr>
          <w:ilvl w:val="0"/>
          <w:numId w:val="17"/>
        </w:numPr>
      </w:pPr>
      <w:r>
        <w:t>Stuffy nose (sneezing)</w:t>
      </w:r>
    </w:p>
    <w:p w14:paraId="103C181F" w14:textId="77777777" w:rsidR="00D00398" w:rsidRDefault="00D00398">
      <w:pPr>
        <w:pStyle w:val="ListParagraph"/>
        <w:numPr>
          <w:ilvl w:val="0"/>
          <w:numId w:val="17"/>
        </w:numPr>
      </w:pPr>
      <w:r>
        <w:t>Trembling</w:t>
      </w:r>
    </w:p>
    <w:p w14:paraId="6C76274A" w14:textId="77777777" w:rsidR="00D00398" w:rsidRDefault="00D00398" w:rsidP="008176D6">
      <w:pPr>
        <w:rPr>
          <w:b/>
          <w:bCs/>
        </w:rPr>
      </w:pPr>
      <w:r w:rsidRPr="00F5516F">
        <w:rPr>
          <w:b/>
          <w:bCs/>
        </w:rPr>
        <w:t>Neonatal Treatment</w:t>
      </w:r>
    </w:p>
    <w:p w14:paraId="0BCE38E9" w14:textId="6779D27E" w:rsidR="00D00398" w:rsidRDefault="00D00398" w:rsidP="008176D6">
      <w:r>
        <w:t xml:space="preserve">Treatment depends on the infant’s overall health and whether the baby was born </w:t>
      </w:r>
      <w:r w:rsidR="008176D6">
        <w:t>full- term</w:t>
      </w:r>
      <w:r>
        <w:t xml:space="preserve"> or premature. Your OB/GYN healthcare team at the birthing hospital will watch the baby carefully for signs of withdrawal, feeding problems and weight gain. Babies who vomit or are very dehydrated may need to get IV fluids. If your baby begins to show signs of withdrawal, it is important that you notify your OB/GYN and pediatrician immediately. Some babies need medicine to treat withdrawal symptoms. The pediatrician may prescribe a medication like the one used by the mother during pregnancy and slowly decrease the baby’s dose over time to help wean the baby and relieve withdrawal symptoms.  </w:t>
      </w:r>
    </w:p>
    <w:p w14:paraId="0169F79F" w14:textId="77777777" w:rsidR="00D00398" w:rsidRDefault="00D00398" w:rsidP="00D00398">
      <w:pPr>
        <w:ind w:left="900"/>
      </w:pPr>
      <w:r>
        <w:t>Infants with NAS are often fussy and hard to calm. Tips to help calm the baby include:</w:t>
      </w:r>
    </w:p>
    <w:p w14:paraId="594D5259" w14:textId="77777777" w:rsidR="00D00398" w:rsidRDefault="00D00398">
      <w:pPr>
        <w:pStyle w:val="ListParagraph"/>
        <w:numPr>
          <w:ilvl w:val="0"/>
          <w:numId w:val="18"/>
        </w:numPr>
      </w:pPr>
      <w:r>
        <w:t>Gently rocking the baby</w:t>
      </w:r>
    </w:p>
    <w:p w14:paraId="065CF408" w14:textId="77777777" w:rsidR="00D00398" w:rsidRDefault="00D00398">
      <w:pPr>
        <w:pStyle w:val="ListParagraph"/>
        <w:numPr>
          <w:ilvl w:val="0"/>
          <w:numId w:val="18"/>
        </w:numPr>
      </w:pPr>
      <w:r>
        <w:t>Reducing lights and noise</w:t>
      </w:r>
    </w:p>
    <w:p w14:paraId="370A91BA" w14:textId="77777777" w:rsidR="00D00398" w:rsidRDefault="00D00398">
      <w:pPr>
        <w:pStyle w:val="ListParagraph"/>
        <w:numPr>
          <w:ilvl w:val="0"/>
          <w:numId w:val="18"/>
        </w:numPr>
      </w:pPr>
      <w:r>
        <w:t>Swaddling the baby in a blanket</w:t>
      </w:r>
    </w:p>
    <w:p w14:paraId="2B85569A" w14:textId="77777777" w:rsidR="00D00398" w:rsidRDefault="00D00398" w:rsidP="008176D6">
      <w:r>
        <w:t xml:space="preserve">If you give birth while in MAT treatment, it is essential that you seek the guidance of your OB/GYN team; and support from Fusion Recovery clinical and medical staff who will connect you to a wide range of community assistance and resources. </w:t>
      </w:r>
    </w:p>
    <w:p w14:paraId="4C5FA998" w14:textId="77777777" w:rsidR="00D614F9" w:rsidRDefault="00D614F9" w:rsidP="008176D6"/>
    <w:p w14:paraId="713A1495" w14:textId="00B60100" w:rsidR="00D614F9" w:rsidRDefault="00D614F9" w:rsidP="00D614F9">
      <w:pPr>
        <w:rPr>
          <w:b/>
          <w:bCs/>
        </w:rPr>
      </w:pPr>
      <w:r w:rsidRPr="00594E03">
        <w:rPr>
          <w:b/>
          <w:bCs/>
        </w:rPr>
        <w:t>Hepatitis</w:t>
      </w:r>
      <w:r>
        <w:rPr>
          <w:b/>
          <w:bCs/>
        </w:rPr>
        <w:t xml:space="preserve">, HIV/AIDS, and Other Communicable Diseases </w:t>
      </w:r>
    </w:p>
    <w:p w14:paraId="5C347BB5" w14:textId="77777777" w:rsidR="00D614F9" w:rsidRDefault="00D614F9" w:rsidP="00D614F9">
      <w:r>
        <w:lastRenderedPageBreak/>
        <w:t>Hepatitis is an inflammatory disease of the liver. It can be caused by viruses, alcohol or substance use, exposure to toxins, and certain diseases. Viral hepatitis refers to liver inflammation caused by one of several types of viruses that attack the liver. In the United States, these are primarily hepatitis A virus (HAV), hepatitis B virus (HBV), and hepatitis C virus (HCV), but other types of hepatitis viruses do exist.  The body can rid itself of infection in some cases. In others, the body cannot get rid of the infection by itself, and the infection becomes chronic.</w:t>
      </w:r>
    </w:p>
    <w:p w14:paraId="76BA68CD" w14:textId="024CFBC7" w:rsidR="00D614F9" w:rsidRPr="00D614F9" w:rsidRDefault="00D614F9" w:rsidP="00D614F9">
      <w:pPr>
        <w:rPr>
          <w:b/>
          <w:bCs/>
        </w:rPr>
      </w:pPr>
      <w:r>
        <w:t>You can minimize your risk for contracting hepatitis and HIV by changing behaviors that put you at risk, including but not limited to engaging in unprotected sex with multiple partners, sharing drug preparation equipment, and sharing needles. Medical providers will review your admission blood work if you consent to being tested and work with you on referrals or recommendations about your communicable disease status if necessary</w:t>
      </w:r>
    </w:p>
    <w:p w14:paraId="66739EE8" w14:textId="31FBB940" w:rsidR="00D614F9" w:rsidRPr="00C853E9" w:rsidRDefault="00D614F9" w:rsidP="00D614F9">
      <w:r w:rsidRPr="00C853E9">
        <w:rPr>
          <w:b/>
          <w:bCs/>
        </w:rPr>
        <w:t xml:space="preserve">AIDS (Acquired Immune Deficiency Syndrome) </w:t>
      </w:r>
      <w:r w:rsidRPr="00D614F9">
        <w:t>is a disease caused by a virus called HIV (Human Immunodeficiency Virus).</w:t>
      </w:r>
      <w:r>
        <w:t xml:space="preserve">  </w:t>
      </w:r>
      <w:r w:rsidRPr="00C853E9">
        <w:t>People of any sex, age, and race can get HIV</w:t>
      </w:r>
      <w:r w:rsidRPr="00C853E9">
        <w:rPr>
          <w:i/>
          <w:iCs/>
        </w:rPr>
        <w:t>/</w:t>
      </w:r>
      <w:r w:rsidRPr="00C853E9">
        <w:t>AIDS. When a person is infected with HIV, the virus infects and can kill certain cells in the immune system called T- helper cells. This weakens the immune system so that other opportunistic infections can occur. The HIV-infected person is said to have AIDS when they become sick with other specific infections or when the number of T-helper cells has dropped below 200.</w:t>
      </w:r>
    </w:p>
    <w:p w14:paraId="67705291" w14:textId="05D93A9C" w:rsidR="00D614F9" w:rsidRPr="00C853E9" w:rsidRDefault="00D614F9" w:rsidP="00D614F9">
      <w:r w:rsidRPr="00C853E9">
        <w:t>There is no cure for HIV. Although people do not die from HIV, most people who become infected with HIV will eventually develop AIDS</w:t>
      </w:r>
      <w:r>
        <w:t xml:space="preserve"> without the proper treatment</w:t>
      </w:r>
      <w:r w:rsidRPr="00C853E9">
        <w:t>. You can have HIV for several years without showing any signs. That means you can have HIV and not even know it. You can also spread HIV during that time to other people. As of 1996, about half of everybody that got HIV would develop AIDS within ten years. Now, with the help of new drug treatments, the time between infection of HIV and the time it takes to develop AIDS can be even longer. </w:t>
      </w:r>
      <w:r>
        <w:t xml:space="preserve"> There are also ways of potentially preventing HIV infection through the use of P</w:t>
      </w:r>
      <w:r w:rsidR="003624BD">
        <w:t>rE</w:t>
      </w:r>
      <w:r>
        <w:t>P</w:t>
      </w:r>
      <w:r w:rsidR="003624BD">
        <w:t xml:space="preserve"> medications and treatments for potential exposure that can be taken up to 72 hours after incident (PEP). </w:t>
      </w:r>
    </w:p>
    <w:p w14:paraId="5B1C6808" w14:textId="77777777" w:rsidR="00D614F9" w:rsidRPr="00C853E9" w:rsidRDefault="00D614F9" w:rsidP="00D614F9">
      <w:pPr>
        <w:rPr>
          <w:b/>
          <w:bCs/>
        </w:rPr>
      </w:pPr>
      <w:r w:rsidRPr="00C853E9">
        <w:rPr>
          <w:b/>
          <w:bCs/>
        </w:rPr>
        <w:t>PEOPLE WITH THE HIGHEST RISK OF AIDS AND HIV INFECTIONS ARE:</w:t>
      </w:r>
    </w:p>
    <w:p w14:paraId="6BCFCF33" w14:textId="77777777" w:rsidR="00D614F9" w:rsidRPr="00C853E9" w:rsidRDefault="00D614F9">
      <w:pPr>
        <w:pStyle w:val="ListParagraph"/>
        <w:numPr>
          <w:ilvl w:val="0"/>
          <w:numId w:val="17"/>
        </w:numPr>
      </w:pPr>
      <w:r w:rsidRPr="00C853E9">
        <w:t>People who share needles</w:t>
      </w:r>
    </w:p>
    <w:p w14:paraId="1E4CBEA2" w14:textId="77777777" w:rsidR="00D614F9" w:rsidRPr="00C853E9" w:rsidRDefault="00D614F9">
      <w:pPr>
        <w:pStyle w:val="ListParagraph"/>
        <w:numPr>
          <w:ilvl w:val="0"/>
          <w:numId w:val="17"/>
        </w:numPr>
      </w:pPr>
      <w:r w:rsidRPr="00C853E9">
        <w:t>Men who have sex with other men</w:t>
      </w:r>
    </w:p>
    <w:p w14:paraId="0139FDEF" w14:textId="77777777" w:rsidR="00D614F9" w:rsidRPr="00C853E9" w:rsidRDefault="00D614F9">
      <w:pPr>
        <w:pStyle w:val="ListParagraph"/>
        <w:numPr>
          <w:ilvl w:val="0"/>
          <w:numId w:val="17"/>
        </w:numPr>
      </w:pPr>
      <w:r w:rsidRPr="00C853E9">
        <w:t>Babies born to mothers who have HIV infections</w:t>
      </w:r>
    </w:p>
    <w:p w14:paraId="28CF6C54" w14:textId="77777777" w:rsidR="00D614F9" w:rsidRPr="00C853E9" w:rsidRDefault="00D614F9">
      <w:pPr>
        <w:pStyle w:val="ListParagraph"/>
        <w:numPr>
          <w:ilvl w:val="0"/>
          <w:numId w:val="17"/>
        </w:numPr>
      </w:pPr>
      <w:r w:rsidRPr="00C853E9">
        <w:t>People who receive blood transfusions or blood products before 1985</w:t>
      </w:r>
    </w:p>
    <w:p w14:paraId="7842E240" w14:textId="248ACF64" w:rsidR="00D614F9" w:rsidRDefault="00D614F9">
      <w:pPr>
        <w:pStyle w:val="ListParagraph"/>
        <w:numPr>
          <w:ilvl w:val="0"/>
          <w:numId w:val="17"/>
        </w:numPr>
      </w:pPr>
      <w:r w:rsidRPr="00C853E9">
        <w:t>Anyone who has sex with anyone who has or is at risk for AIDS or HIV infection</w:t>
      </w:r>
    </w:p>
    <w:p w14:paraId="38EEAF94" w14:textId="77777777" w:rsidR="00D614F9" w:rsidRPr="00204F79" w:rsidRDefault="00D614F9" w:rsidP="00D614F9">
      <w:r w:rsidRPr="00C853E9">
        <w:rPr>
          <w:b/>
          <w:bCs/>
        </w:rPr>
        <w:t>HOW IS HIV SPREAD?</w:t>
      </w:r>
    </w:p>
    <w:p w14:paraId="37D2A432" w14:textId="0CFCAEB5" w:rsidR="00D614F9" w:rsidRPr="00C853E9" w:rsidRDefault="00D614F9" w:rsidP="00D614F9">
      <w:r w:rsidRPr="003624BD">
        <w:t xml:space="preserve">HIV is spread through bodily fluids like blood, pus, semen, menstrual blood, vaginal secretions, and breast milk. If your blood comes into contact with any body fluids of an infected person, </w:t>
      </w:r>
      <w:r w:rsidRPr="003624BD">
        <w:lastRenderedPageBreak/>
        <w:t>you may become infected with HIV. You may expose yourself to HIV if you do any of the following with a person who has HIV</w:t>
      </w:r>
      <w:r w:rsidR="003624BD">
        <w:rPr>
          <w:b/>
          <w:bCs/>
        </w:rPr>
        <w:t>:</w:t>
      </w:r>
    </w:p>
    <w:p w14:paraId="26F1ED6E" w14:textId="77777777" w:rsidR="00D614F9" w:rsidRPr="00C853E9" w:rsidRDefault="00D614F9">
      <w:pPr>
        <w:pStyle w:val="ListParagraph"/>
        <w:numPr>
          <w:ilvl w:val="0"/>
          <w:numId w:val="17"/>
        </w:numPr>
      </w:pPr>
      <w:r w:rsidRPr="00C853E9">
        <w:t>Have unprotected sex (sex without a condom)</w:t>
      </w:r>
    </w:p>
    <w:p w14:paraId="2A2E5194" w14:textId="77777777" w:rsidR="00D614F9" w:rsidRPr="00C853E9" w:rsidRDefault="00D614F9">
      <w:pPr>
        <w:pStyle w:val="ListParagraph"/>
        <w:numPr>
          <w:ilvl w:val="1"/>
          <w:numId w:val="17"/>
        </w:numPr>
      </w:pPr>
      <w:r w:rsidRPr="003624BD">
        <w:t>You can get HIV from oral, anal, or vaginal sex, or from sharing sex toys with a person who is infected.</w:t>
      </w:r>
    </w:p>
    <w:p w14:paraId="4DFC7295" w14:textId="77777777" w:rsidR="00D614F9" w:rsidRPr="00C853E9" w:rsidRDefault="00D614F9">
      <w:pPr>
        <w:pStyle w:val="ListParagraph"/>
        <w:numPr>
          <w:ilvl w:val="0"/>
          <w:numId w:val="17"/>
        </w:numPr>
      </w:pPr>
      <w:r w:rsidRPr="00C853E9">
        <w:t>Share a needle or a syringe with someone who is infected.</w:t>
      </w:r>
    </w:p>
    <w:p w14:paraId="68C49378" w14:textId="77777777" w:rsidR="00D614F9" w:rsidRPr="00C853E9" w:rsidRDefault="00D614F9">
      <w:pPr>
        <w:pStyle w:val="ListParagraph"/>
        <w:numPr>
          <w:ilvl w:val="1"/>
          <w:numId w:val="17"/>
        </w:numPr>
      </w:pPr>
      <w:r w:rsidRPr="003624BD">
        <w:t>This could be sharing a needle to inject drugs, to make tattoos, or to pierce your ear.</w:t>
      </w:r>
    </w:p>
    <w:p w14:paraId="585A5E86" w14:textId="77777777" w:rsidR="00D614F9" w:rsidRPr="00C853E9" w:rsidRDefault="00D614F9">
      <w:pPr>
        <w:pStyle w:val="ListParagraph"/>
        <w:numPr>
          <w:ilvl w:val="0"/>
          <w:numId w:val="17"/>
        </w:numPr>
      </w:pPr>
      <w:r w:rsidRPr="00C853E9">
        <w:t>Get infected blood into an open cut or mucous membrane.</w:t>
      </w:r>
    </w:p>
    <w:p w14:paraId="1DE92528" w14:textId="77777777" w:rsidR="00D614F9" w:rsidRPr="00C853E9" w:rsidRDefault="00D614F9">
      <w:pPr>
        <w:pStyle w:val="ListParagraph"/>
        <w:numPr>
          <w:ilvl w:val="1"/>
          <w:numId w:val="17"/>
        </w:numPr>
      </w:pPr>
      <w:r w:rsidRPr="003624BD">
        <w:t>This is rare and usually occurs with healthcare workers when it does happen.</w:t>
      </w:r>
    </w:p>
    <w:p w14:paraId="14432748" w14:textId="77777777" w:rsidR="00D614F9" w:rsidRPr="00C853E9" w:rsidRDefault="00D614F9">
      <w:pPr>
        <w:pStyle w:val="ListParagraph"/>
        <w:numPr>
          <w:ilvl w:val="0"/>
          <w:numId w:val="17"/>
        </w:numPr>
      </w:pPr>
      <w:r w:rsidRPr="00C853E9">
        <w:t>From a mother to a baby.</w:t>
      </w:r>
    </w:p>
    <w:p w14:paraId="058F1737" w14:textId="76CBC96F" w:rsidR="00D614F9" w:rsidRPr="00C853E9" w:rsidRDefault="00D614F9">
      <w:pPr>
        <w:pStyle w:val="ListParagraph"/>
        <w:numPr>
          <w:ilvl w:val="1"/>
          <w:numId w:val="17"/>
        </w:numPr>
      </w:pPr>
      <w:r w:rsidRPr="003624BD">
        <w:t>This can occur before, during birth, or by breast-feeding.</w:t>
      </w:r>
    </w:p>
    <w:p w14:paraId="5D7A5658" w14:textId="77777777" w:rsidR="00D614F9" w:rsidRPr="00C853E9" w:rsidRDefault="00D614F9" w:rsidP="00D614F9">
      <w:pPr>
        <w:rPr>
          <w:b/>
          <w:bCs/>
        </w:rPr>
      </w:pPr>
      <w:r w:rsidRPr="00C853E9">
        <w:rPr>
          <w:b/>
          <w:bCs/>
        </w:rPr>
        <w:t>SYMPTOMS</w:t>
      </w:r>
    </w:p>
    <w:p w14:paraId="69147CA6" w14:textId="0BAA13F8" w:rsidR="00D614F9" w:rsidRPr="00C853E9" w:rsidRDefault="00D614F9" w:rsidP="003624BD">
      <w:r w:rsidRPr="00C853E9">
        <w:t>These symptoms and conditions may include: fever, weight loss, swollen lymph glands in the neck, underarms, or groin, white patches in the mouth (thrush), certain cancers (Kaposi's sarcoma, certain lymphomas, certain invasive cervical cancers), and infections (Pneumocystis pneumonia, certain types of meningitis, toxoplasmosis, certain blood infections, TB, etc...)</w:t>
      </w:r>
    </w:p>
    <w:p w14:paraId="51FED9ED" w14:textId="77777777" w:rsidR="00D614F9" w:rsidRPr="00C853E9" w:rsidRDefault="00D614F9" w:rsidP="00D614F9">
      <w:pPr>
        <w:rPr>
          <w:b/>
          <w:bCs/>
        </w:rPr>
      </w:pPr>
      <w:r w:rsidRPr="00C853E9">
        <w:rPr>
          <w:b/>
          <w:bCs/>
        </w:rPr>
        <w:t>TESTING</w:t>
      </w:r>
    </w:p>
    <w:p w14:paraId="165FA410" w14:textId="4A692FA0" w:rsidR="00D614F9" w:rsidRPr="00C853E9" w:rsidRDefault="00D614F9" w:rsidP="00D614F9">
      <w:r w:rsidRPr="003624BD">
        <w:t>A blood test may tell if you have HIV infection or AIDS.</w:t>
      </w:r>
      <w:r w:rsidR="003624BD">
        <w:t xml:space="preserve">  </w:t>
      </w:r>
      <w:r w:rsidRPr="00C853E9">
        <w:t xml:space="preserve">You can get an HIV blood test at </w:t>
      </w:r>
      <w:r w:rsidR="00BF029C">
        <w:t>this program, your primary care, or other laboratory testing sites</w:t>
      </w:r>
      <w:r w:rsidRPr="00C853E9">
        <w:t>. Getting tested is easier than ever and can be done confidentially or anonymously which means no one else will even know your name. They may take a blood sample OR they may simply take a sample of your saliva with a swab. Test results take about 2 weeks to come back and then you can find out the results. Knowing can give you peace of mind and protect other people that are important to you.</w:t>
      </w:r>
    </w:p>
    <w:p w14:paraId="1B5790A3" w14:textId="13756BAF" w:rsidR="00D614F9" w:rsidRDefault="00D614F9" w:rsidP="00BF029C">
      <w:r w:rsidRPr="00C853E9">
        <w:t>You can get a free, anonymous HIV test at the following places:</w:t>
      </w:r>
    </w:p>
    <w:p w14:paraId="69F382F1" w14:textId="77777777" w:rsidR="00BF029C" w:rsidRPr="00C853E9" w:rsidRDefault="00BF029C" w:rsidP="00BF029C"/>
    <w:p w14:paraId="08EC9709" w14:textId="0AC7A973" w:rsidR="00D614F9" w:rsidRPr="00BF029C" w:rsidRDefault="00D614F9" w:rsidP="00BF029C">
      <w:pPr>
        <w:spacing w:before="0"/>
        <w:rPr>
          <w:b/>
          <w:bCs/>
          <w:kern w:val="2"/>
          <w:sz w:val="24"/>
          <w:szCs w:val="28"/>
          <w14:ligatures w14:val="standardContextual"/>
        </w:rPr>
      </w:pPr>
      <w:r w:rsidRPr="00BF029C">
        <w:rPr>
          <w:b/>
          <w:bCs/>
          <w:kern w:val="2"/>
          <w:sz w:val="24"/>
          <w:szCs w:val="28"/>
          <w14:ligatures w14:val="standardContextual"/>
        </w:rPr>
        <w:t>Whitney Young Health Center</w:t>
      </w:r>
    </w:p>
    <w:p w14:paraId="776AE485" w14:textId="77777777" w:rsidR="00D614F9" w:rsidRPr="00BF029C" w:rsidRDefault="00D614F9" w:rsidP="00BF029C">
      <w:pPr>
        <w:spacing w:before="0"/>
        <w:rPr>
          <w:kern w:val="2"/>
          <w14:ligatures w14:val="standardContextual"/>
        </w:rPr>
      </w:pPr>
      <w:r w:rsidRPr="00BF029C">
        <w:rPr>
          <w:kern w:val="2"/>
          <w14:ligatures w14:val="standardContextual"/>
        </w:rPr>
        <w:t>920 Lark Dr, Albany, NY 12207</w:t>
      </w:r>
      <w:r w:rsidRPr="00BF029C">
        <w:rPr>
          <w:kern w:val="2"/>
          <w14:ligatures w14:val="standardContextual"/>
        </w:rPr>
        <w:br/>
        <w:t>518-465-4771</w:t>
      </w:r>
      <w:r w:rsidRPr="00BF029C">
        <w:rPr>
          <w:kern w:val="2"/>
          <w14:ligatures w14:val="standardContextual"/>
        </w:rPr>
        <w:br/>
        <w:t>Hours: Monday, Wednesday, Thursday 7:30am-6pm. Tuesday 7:30am-7pm. Friday 7:30am-5pm.</w:t>
      </w:r>
    </w:p>
    <w:p w14:paraId="5ACDC19E" w14:textId="77777777" w:rsidR="00D614F9" w:rsidRPr="00C853E9" w:rsidRDefault="00D614F9" w:rsidP="00D614F9">
      <w:pPr>
        <w:ind w:left="1260"/>
      </w:pPr>
      <w:r w:rsidRPr="00C853E9">
        <w:t> </w:t>
      </w:r>
    </w:p>
    <w:p w14:paraId="2289BB9E" w14:textId="77777777" w:rsidR="00D614F9" w:rsidRPr="00BF029C" w:rsidRDefault="00D614F9" w:rsidP="00BF029C">
      <w:pPr>
        <w:spacing w:before="0"/>
        <w:rPr>
          <w:b/>
          <w:bCs/>
          <w:kern w:val="2"/>
          <w:sz w:val="24"/>
          <w:szCs w:val="28"/>
          <w14:ligatures w14:val="standardContextual"/>
        </w:rPr>
      </w:pPr>
      <w:r w:rsidRPr="00BF029C">
        <w:rPr>
          <w:b/>
          <w:bCs/>
          <w:kern w:val="2"/>
          <w:sz w:val="24"/>
          <w:szCs w:val="28"/>
          <w14:ligatures w14:val="standardContextual"/>
        </w:rPr>
        <w:t>Albany County Department of Health</w:t>
      </w:r>
    </w:p>
    <w:p w14:paraId="18EF617C" w14:textId="77777777" w:rsidR="00D614F9" w:rsidRPr="00BF029C" w:rsidRDefault="00D614F9" w:rsidP="00BF029C">
      <w:pPr>
        <w:spacing w:before="0"/>
        <w:rPr>
          <w:kern w:val="2"/>
          <w14:ligatures w14:val="standardContextual"/>
        </w:rPr>
      </w:pPr>
      <w:r w:rsidRPr="00BF029C">
        <w:rPr>
          <w:kern w:val="2"/>
          <w14:ligatures w14:val="standardContextual"/>
        </w:rPr>
        <w:t>175 Green St, Albany, NY 12202</w:t>
      </w:r>
      <w:r w:rsidRPr="00BF029C">
        <w:rPr>
          <w:kern w:val="2"/>
          <w14:ligatures w14:val="standardContextual"/>
        </w:rPr>
        <w:br/>
        <w:t>518-447-4580 &amp; 518-447-4589</w:t>
      </w:r>
      <w:r w:rsidRPr="00BF029C">
        <w:rPr>
          <w:kern w:val="2"/>
          <w14:ligatures w14:val="standardContextual"/>
        </w:rPr>
        <w:br/>
        <w:t>Hours: Monday-Friday 8:30am-4:30pm</w:t>
      </w:r>
    </w:p>
    <w:p w14:paraId="327B97A8" w14:textId="77777777" w:rsidR="00D614F9" w:rsidRPr="00C853E9" w:rsidRDefault="00D614F9" w:rsidP="00D614F9">
      <w:pPr>
        <w:ind w:left="1260"/>
      </w:pPr>
      <w:r w:rsidRPr="00C853E9">
        <w:lastRenderedPageBreak/>
        <w:t> </w:t>
      </w:r>
    </w:p>
    <w:p w14:paraId="4A75D80E" w14:textId="77777777" w:rsidR="00D614F9" w:rsidRPr="00BF029C" w:rsidRDefault="00D614F9" w:rsidP="00BF029C">
      <w:pPr>
        <w:spacing w:before="0"/>
        <w:rPr>
          <w:b/>
          <w:bCs/>
          <w:kern w:val="2"/>
          <w:sz w:val="24"/>
          <w:szCs w:val="28"/>
          <w14:ligatures w14:val="standardContextual"/>
        </w:rPr>
      </w:pPr>
      <w:r w:rsidRPr="00BF029C">
        <w:rPr>
          <w:b/>
          <w:bCs/>
          <w:kern w:val="2"/>
          <w:sz w:val="24"/>
          <w:szCs w:val="28"/>
          <w14:ligatures w14:val="standardContextual"/>
        </w:rPr>
        <w:t>Alliance for Positive Health</w:t>
      </w:r>
    </w:p>
    <w:p w14:paraId="25EE6AA1" w14:textId="77777777" w:rsidR="00D614F9" w:rsidRPr="00BF029C" w:rsidRDefault="00D614F9" w:rsidP="00BF029C">
      <w:pPr>
        <w:spacing w:before="0"/>
        <w:rPr>
          <w:kern w:val="2"/>
          <w14:ligatures w14:val="standardContextual"/>
        </w:rPr>
      </w:pPr>
      <w:r w:rsidRPr="00BF029C">
        <w:rPr>
          <w:kern w:val="2"/>
          <w14:ligatures w14:val="standardContextual"/>
        </w:rPr>
        <w:t>845 Central Ave Ste 202, Albany, NY 12206</w:t>
      </w:r>
      <w:r w:rsidRPr="00BF029C">
        <w:rPr>
          <w:kern w:val="2"/>
          <w14:ligatures w14:val="standardContextual"/>
        </w:rPr>
        <w:br/>
        <w:t>518-434-4686 &amp; 518-917-3055</w:t>
      </w:r>
      <w:r w:rsidRPr="00BF029C">
        <w:rPr>
          <w:kern w:val="2"/>
          <w14:ligatures w14:val="standardContextual"/>
        </w:rPr>
        <w:br/>
        <w:t>Hours: Monday, Tuesday, Thursday, Friday 8:30am-4:30pm. Wednesday 9am-4:30pm.</w:t>
      </w:r>
    </w:p>
    <w:p w14:paraId="2909023D" w14:textId="77777777" w:rsidR="00BF029C" w:rsidRPr="00BF029C" w:rsidRDefault="00BF029C" w:rsidP="00BF029C">
      <w:pPr>
        <w:spacing w:before="0"/>
        <w:rPr>
          <w:b/>
          <w:bCs/>
          <w:kern w:val="2"/>
          <w:sz w:val="24"/>
          <w:szCs w:val="28"/>
          <w14:ligatures w14:val="standardContextual"/>
        </w:rPr>
      </w:pPr>
    </w:p>
    <w:p w14:paraId="467D5849" w14:textId="462DFD5D" w:rsidR="00D614F9" w:rsidRPr="00BF029C" w:rsidRDefault="00BF029C" w:rsidP="00BF029C">
      <w:pPr>
        <w:spacing w:before="0"/>
        <w:rPr>
          <w:b/>
          <w:bCs/>
          <w:kern w:val="2"/>
          <w:sz w:val="24"/>
          <w:szCs w:val="28"/>
          <w14:ligatures w14:val="standardContextual"/>
        </w:rPr>
      </w:pPr>
      <w:r w:rsidRPr="00BF029C">
        <w:rPr>
          <w:b/>
          <w:bCs/>
          <w:kern w:val="2"/>
          <w:sz w:val="24"/>
          <w:szCs w:val="28"/>
          <w14:ligatures w14:val="standardContextual"/>
        </w:rPr>
        <w:t>Albany Medical Center (PrEP)</w:t>
      </w:r>
    </w:p>
    <w:p w14:paraId="2BE97405" w14:textId="3072B7AC" w:rsidR="00BF029C" w:rsidRPr="00BF029C" w:rsidRDefault="00BF029C" w:rsidP="00BF029C">
      <w:pPr>
        <w:spacing w:before="0"/>
        <w:rPr>
          <w:kern w:val="2"/>
          <w14:ligatures w14:val="standardContextual"/>
        </w:rPr>
      </w:pPr>
      <w:r w:rsidRPr="00BF029C">
        <w:rPr>
          <w:kern w:val="2"/>
          <w14:ligatures w14:val="standardContextual"/>
        </w:rPr>
        <w:t>43 New Scotland Ave   Albany, NY 12208</w:t>
      </w:r>
    </w:p>
    <w:p w14:paraId="77DD3305" w14:textId="021DCB15" w:rsidR="00BF029C" w:rsidRPr="00BF029C" w:rsidRDefault="00BF029C" w:rsidP="00BF029C">
      <w:pPr>
        <w:spacing w:before="0"/>
        <w:rPr>
          <w:kern w:val="2"/>
          <w14:ligatures w14:val="standardContextual"/>
        </w:rPr>
      </w:pPr>
      <w:r w:rsidRPr="00BF029C">
        <w:rPr>
          <w:kern w:val="2"/>
          <w14:ligatures w14:val="standardContextual"/>
        </w:rPr>
        <w:t>518-262-6923</w:t>
      </w:r>
    </w:p>
    <w:p w14:paraId="0784396C" w14:textId="3DF35308" w:rsidR="00D614F9" w:rsidRPr="00C853E9" w:rsidRDefault="00D614F9" w:rsidP="00BF029C">
      <w:r w:rsidRPr="00C853E9">
        <w:rPr>
          <w:b/>
          <w:bCs/>
        </w:rPr>
        <w:t>Remember, anyone can get HIV</w:t>
      </w:r>
      <w:r w:rsidRPr="00C853E9">
        <w:rPr>
          <w:b/>
          <w:bCs/>
          <w:i/>
          <w:iCs/>
        </w:rPr>
        <w:t>/</w:t>
      </w:r>
      <w:r w:rsidRPr="00C853E9">
        <w:rPr>
          <w:b/>
          <w:bCs/>
        </w:rPr>
        <w:t>AIDS. Take care of yourself. Protect yourself.</w:t>
      </w:r>
      <w:r w:rsidRPr="00C853E9">
        <w:t> </w:t>
      </w:r>
    </w:p>
    <w:p w14:paraId="769B97B5" w14:textId="77777777" w:rsidR="00D614F9" w:rsidRPr="00C853E9" w:rsidRDefault="00D614F9" w:rsidP="00D614F9">
      <w:pPr>
        <w:rPr>
          <w:b/>
          <w:bCs/>
        </w:rPr>
      </w:pPr>
      <w:r w:rsidRPr="00C853E9">
        <w:rPr>
          <w:b/>
          <w:bCs/>
        </w:rPr>
        <w:t>WHAT DOES THE TEST MEAN?</w:t>
      </w:r>
    </w:p>
    <w:p w14:paraId="13CA08ED" w14:textId="3AC540EF" w:rsidR="00D614F9" w:rsidRPr="00C853E9" w:rsidRDefault="00D614F9" w:rsidP="00BF029C">
      <w:r w:rsidRPr="00BF029C">
        <w:t>This test detects antibodies to HIV, not the virus itself. Antibodies are the body's reaction to the virus.</w:t>
      </w:r>
      <w:r w:rsidRPr="00C853E9">
        <w:t> </w:t>
      </w:r>
    </w:p>
    <w:p w14:paraId="48C521E5" w14:textId="77777777" w:rsidR="00D614F9" w:rsidRPr="00C853E9" w:rsidRDefault="00D614F9" w:rsidP="00D614F9">
      <w:r w:rsidRPr="00C853E9">
        <w:t>A </w:t>
      </w:r>
      <w:r w:rsidRPr="00C853E9">
        <w:rPr>
          <w:b/>
          <w:bCs/>
        </w:rPr>
        <w:t>POSITIVE </w:t>
      </w:r>
      <w:r w:rsidRPr="00C853E9">
        <w:t>test means that a person is infected with HIV and can pass it to others. By itself, a positive test does not mean that a person has AIDS, which is the most advanced stage of HIV infection. </w:t>
      </w:r>
    </w:p>
    <w:p w14:paraId="4DB23811" w14:textId="396F04D7" w:rsidR="00D614F9" w:rsidRPr="00C853E9" w:rsidRDefault="00D614F9" w:rsidP="00D614F9">
      <w:r w:rsidRPr="00C853E9">
        <w:t>A </w:t>
      </w:r>
      <w:r w:rsidRPr="00C853E9">
        <w:rPr>
          <w:b/>
          <w:bCs/>
        </w:rPr>
        <w:t>NEGATIVE </w:t>
      </w:r>
      <w:r w:rsidRPr="00C853E9">
        <w:t>test means that antibodies to HIV were not detected. This usually means that the person is not infected with HIV. In some cases, however, the infection may have happened too recently for the test to turn positive.  The Blood test usually turns positive within 1 month after infection and in almost all cases within 3 months. Therefore, if you were infected very recently, a negative test result could be wrong</w:t>
      </w:r>
      <w:r w:rsidR="00BF029C">
        <w:t xml:space="preserve"> and you are usually encouraged to test at least one more time to verify this result after potential exposures</w:t>
      </w:r>
      <w:r w:rsidRPr="00C853E9">
        <w:t>.</w:t>
      </w:r>
    </w:p>
    <w:p w14:paraId="491DB0E7" w14:textId="77777777" w:rsidR="00D614F9" w:rsidRPr="00C853E9" w:rsidRDefault="00D614F9" w:rsidP="00D614F9">
      <w:r w:rsidRPr="00C853E9">
        <w:rPr>
          <w:b/>
          <w:bCs/>
        </w:rPr>
        <w:t>FALSE RESULTS </w:t>
      </w:r>
      <w:r w:rsidRPr="00C853E9">
        <w:t>(a negative test in someone who is infected, or a positive test in someone who is not infected) are rare. Indeterminate results (when it is unclear whether the test is positive or negative) also are rare. When a test result does not seem to make sense, a repeat test or special confirmatory tests may help to determine whether a person is or is not infected.</w:t>
      </w:r>
    </w:p>
    <w:p w14:paraId="131867C3" w14:textId="73198DA9" w:rsidR="00D614F9" w:rsidRPr="00C853E9" w:rsidRDefault="00D614F9" w:rsidP="00D614F9">
      <w:r w:rsidRPr="00C853E9">
        <w:rPr>
          <w:b/>
          <w:bCs/>
        </w:rPr>
        <w:t>BENEFITS OF BEING TESTED </w:t>
      </w:r>
      <w:r w:rsidRPr="00C853E9">
        <w:t>- There are substantial benefits to being tested. Most infected persons may benefit from medications that delay or prevent AIDS and other serious infections. Test results also can help people make choices about contraception or pregnancy. Therefore, all infected persons should have a complete medical checkup, including tests of the immune system; to help their health care providers recommend the best health care. There are other reasons to be tested. Even though everyone should follow safe sex guidelines whether or not they are infected with HIV, many persons find that knowing their test results helps them to protect their partners and themselves. Some persons want to know their test results before beginning a new sexual relationship or becoming pregnant. Others will be reassured by learning that they are not infected.</w:t>
      </w:r>
    </w:p>
    <w:p w14:paraId="2A514F26" w14:textId="77777777" w:rsidR="00D614F9" w:rsidRPr="00C853E9" w:rsidRDefault="00D614F9" w:rsidP="00D614F9">
      <w:r w:rsidRPr="00C853E9">
        <w:rPr>
          <w:b/>
          <w:bCs/>
        </w:rPr>
        <w:lastRenderedPageBreak/>
        <w:t>RISKS AND DISADVANTAGES of BEING TESTED- </w:t>
      </w:r>
      <w:r w:rsidRPr="00C853E9">
        <w:t>Many persons with positive or indeterminate test results will experience stress, anxiety, or depression. Some persons with negative tests may continue or increase unsafe behaviors, which would increase the risk of HIV infection. Some persons are afraid that their test results will get into the wrong hands, and that discrimination might result. For these reasons, you should consider your social supports (such as family and friends) and your insurance needs before you are tested.</w:t>
      </w:r>
    </w:p>
    <w:p w14:paraId="0C563E33" w14:textId="77777777" w:rsidR="00D614F9" w:rsidRPr="00204F79" w:rsidRDefault="00D614F9" w:rsidP="00D614F9">
      <w:r w:rsidRPr="00C853E9">
        <w:rPr>
          <w:b/>
          <w:bCs/>
        </w:rPr>
        <w:t>HOW DO I PROTECT MYSELF?</w:t>
      </w:r>
    </w:p>
    <w:p w14:paraId="639CD263" w14:textId="77777777" w:rsidR="00D614F9" w:rsidRPr="00C853E9" w:rsidRDefault="00D614F9" w:rsidP="00D614F9">
      <w:r w:rsidRPr="00C853E9">
        <w:t>The best way to protect yourself is to abstain from sex and do not inject drugs.</w:t>
      </w:r>
    </w:p>
    <w:p w14:paraId="12401215" w14:textId="77777777" w:rsidR="00D614F9" w:rsidRPr="00C853E9" w:rsidRDefault="00D614F9" w:rsidP="00D614F9">
      <w:r w:rsidRPr="00C853E9">
        <w:t>Here are some ways of limiting your risk of becoming infected with HIV:</w:t>
      </w:r>
    </w:p>
    <w:p w14:paraId="3F027B9B" w14:textId="66DF59A6" w:rsidR="00D614F9" w:rsidRPr="00C853E9" w:rsidRDefault="00D614F9">
      <w:pPr>
        <w:pStyle w:val="ListParagraph"/>
        <w:numPr>
          <w:ilvl w:val="0"/>
          <w:numId w:val="17"/>
        </w:numPr>
      </w:pPr>
      <w:r w:rsidRPr="00C853E9">
        <w:t>Practice safer sex -(Remember THERE IS NO RISK-FREE SEX!)</w:t>
      </w:r>
      <w:r w:rsidR="00BF029C">
        <w:t xml:space="preserve"> </w:t>
      </w:r>
      <w:r w:rsidR="00BF029C" w:rsidRPr="00C853E9">
        <w:t>Something to think about:</w:t>
      </w:r>
      <w:r w:rsidR="00BF029C">
        <w:t xml:space="preserve"> w</w:t>
      </w:r>
      <w:r w:rsidR="00BF029C" w:rsidRPr="00C853E9">
        <w:t>hen you have sex with someone, you could be exposing yourself to everyone that person has had sex with for at least the past 10 years and everyone those people have had sex with as well.</w:t>
      </w:r>
    </w:p>
    <w:p w14:paraId="5D4CCA30" w14:textId="77777777" w:rsidR="00D614F9" w:rsidRPr="00C853E9" w:rsidRDefault="00D614F9">
      <w:pPr>
        <w:pStyle w:val="ListParagraph"/>
        <w:numPr>
          <w:ilvl w:val="0"/>
          <w:numId w:val="17"/>
        </w:numPr>
      </w:pPr>
      <w:r w:rsidRPr="00C853E9">
        <w:t>Have sex with one uninfected partner who only has sex with you.</w:t>
      </w:r>
    </w:p>
    <w:p w14:paraId="65F58E51" w14:textId="77777777" w:rsidR="00D614F9" w:rsidRPr="00C853E9" w:rsidRDefault="00D614F9">
      <w:pPr>
        <w:pStyle w:val="ListParagraph"/>
        <w:numPr>
          <w:ilvl w:val="0"/>
          <w:numId w:val="17"/>
        </w:numPr>
      </w:pPr>
      <w:r w:rsidRPr="00C853E9">
        <w:t>ALWAYS use a barrier for protection.</w:t>
      </w:r>
    </w:p>
    <w:p w14:paraId="1861B56F" w14:textId="77777777" w:rsidR="00D614F9" w:rsidRPr="00C853E9" w:rsidRDefault="00D614F9">
      <w:pPr>
        <w:pStyle w:val="ListParagraph"/>
        <w:numPr>
          <w:ilvl w:val="0"/>
          <w:numId w:val="17"/>
        </w:numPr>
      </w:pPr>
      <w:r w:rsidRPr="00C853E9">
        <w:t>A condom is the most protective prevention strategy. A condom will NOT GUARANTEE that you will not be exposed to HIV but aside from not having sex at all, a condom is your best defense. Be sure to use a condom for oral sex too!</w:t>
      </w:r>
    </w:p>
    <w:p w14:paraId="777A2E66" w14:textId="77777777" w:rsidR="00D614F9" w:rsidRPr="00C853E9" w:rsidRDefault="00D614F9">
      <w:pPr>
        <w:pStyle w:val="ListParagraph"/>
        <w:numPr>
          <w:ilvl w:val="0"/>
          <w:numId w:val="17"/>
        </w:numPr>
      </w:pPr>
      <w:r w:rsidRPr="00C853E9">
        <w:t>Use a water-based lubricant such as KY Jelly, Astroglide, or Wet. Don't use an oil-based lubricant (Vaseline, Crisco, chocolate syrup, etc.). Oil-based lubricants will cause the condom to break down making holes in the condom that HIV can get through.</w:t>
      </w:r>
    </w:p>
    <w:p w14:paraId="2552FF69" w14:textId="77777777" w:rsidR="00D614F9" w:rsidRPr="00C853E9" w:rsidRDefault="00D614F9">
      <w:pPr>
        <w:pStyle w:val="ListParagraph"/>
        <w:numPr>
          <w:ilvl w:val="0"/>
          <w:numId w:val="17"/>
        </w:numPr>
      </w:pPr>
      <w:r w:rsidRPr="00C853E9">
        <w:t>Don't use 2 condoms at the same time.</w:t>
      </w:r>
    </w:p>
    <w:p w14:paraId="7C1D1876" w14:textId="77777777" w:rsidR="00D614F9" w:rsidRPr="00C853E9" w:rsidRDefault="00D614F9">
      <w:pPr>
        <w:pStyle w:val="ListParagraph"/>
        <w:numPr>
          <w:ilvl w:val="0"/>
          <w:numId w:val="17"/>
        </w:numPr>
      </w:pPr>
      <w:r w:rsidRPr="00C853E9">
        <w:t>Use latex gloves for hand sex and never use these more than once. When you are done with them throw them in the trash.</w:t>
      </w:r>
    </w:p>
    <w:p w14:paraId="587CD22F" w14:textId="520F8CF1" w:rsidR="00D614F9" w:rsidRPr="00C853E9" w:rsidRDefault="00D614F9">
      <w:pPr>
        <w:pStyle w:val="ListParagraph"/>
        <w:numPr>
          <w:ilvl w:val="0"/>
          <w:numId w:val="17"/>
        </w:numPr>
      </w:pPr>
      <w:r w:rsidRPr="00C853E9">
        <w:t xml:space="preserve">Don't share needles, razors, or toothbrushes. </w:t>
      </w:r>
    </w:p>
    <w:p w14:paraId="379FD134" w14:textId="0DFB9653" w:rsidR="00D614F9" w:rsidRPr="00C853E9" w:rsidRDefault="00D614F9">
      <w:pPr>
        <w:pStyle w:val="ListParagraph"/>
        <w:numPr>
          <w:ilvl w:val="0"/>
          <w:numId w:val="17"/>
        </w:numPr>
      </w:pPr>
      <w:r w:rsidRPr="00C853E9">
        <w:t>Don't use drugs (especially drugs you have to inject)</w:t>
      </w:r>
      <w:r w:rsidR="00BF029C">
        <w:t xml:space="preserve"> - u</w:t>
      </w:r>
      <w:r w:rsidRPr="00C853E9">
        <w:t>sing drugs weakens your immune system and makes your body less able to protect itself from becoming infected with HIV</w:t>
      </w:r>
      <w:r w:rsidR="00BF029C">
        <w:t xml:space="preserve"> and</w:t>
      </w:r>
      <w:r w:rsidRPr="00C853E9">
        <w:t xml:space="preserve"> can affect your ability to make good decisions and you might be more likely to get yourself involved in behavior that will put you at risk.</w:t>
      </w:r>
    </w:p>
    <w:p w14:paraId="09299242" w14:textId="77777777" w:rsidR="00D614F9" w:rsidRPr="00C853E9" w:rsidRDefault="00D614F9">
      <w:pPr>
        <w:pStyle w:val="ListParagraph"/>
        <w:numPr>
          <w:ilvl w:val="0"/>
          <w:numId w:val="17"/>
        </w:numPr>
      </w:pPr>
      <w:r w:rsidRPr="00C853E9">
        <w:t>If you decide to still use despite these dangers, do not share needles. If you aren't sure if the needles you are using are safe and you decide to use anyway, washing your paraphernalia (works) in a solution of bleach and then rinse it with water very well 3 times MAY help reduce your chances of contracting HIV. You may want to consider getting treatment for your drug use.</w:t>
      </w:r>
    </w:p>
    <w:p w14:paraId="54CF5373" w14:textId="77777777" w:rsidR="00BF029C" w:rsidRDefault="00D614F9">
      <w:pPr>
        <w:pStyle w:val="ListParagraph"/>
        <w:numPr>
          <w:ilvl w:val="0"/>
          <w:numId w:val="17"/>
        </w:numPr>
      </w:pPr>
      <w:r w:rsidRPr="00C853E9">
        <w:t>When cleaning up blood or other bodily fluids</w:t>
      </w:r>
      <w:r w:rsidR="00BF029C">
        <w:t>, p</w:t>
      </w:r>
      <w:r w:rsidRPr="00C853E9">
        <w:t>ractices called Universal</w:t>
      </w:r>
      <w:r w:rsidR="00BF029C">
        <w:t xml:space="preserve"> </w:t>
      </w:r>
      <w:r w:rsidRPr="00C853E9">
        <w:t>Precaution and Standard Precautions, such as the use of:</w:t>
      </w:r>
    </w:p>
    <w:p w14:paraId="760E5DAB" w14:textId="39282990" w:rsidR="00D614F9" w:rsidRPr="00C853E9" w:rsidRDefault="00D614F9">
      <w:pPr>
        <w:pStyle w:val="ListParagraph"/>
        <w:numPr>
          <w:ilvl w:val="1"/>
          <w:numId w:val="17"/>
        </w:numPr>
      </w:pPr>
      <w:r w:rsidRPr="00C853E9">
        <w:lastRenderedPageBreak/>
        <w:t>Wearing gowns gloves and goggles and always wash your hands thoroughly after contact.</w:t>
      </w:r>
    </w:p>
    <w:p w14:paraId="202C68F3" w14:textId="77777777" w:rsidR="00D614F9" w:rsidRPr="00C853E9" w:rsidRDefault="00D614F9">
      <w:pPr>
        <w:pStyle w:val="ListParagraph"/>
        <w:numPr>
          <w:ilvl w:val="1"/>
          <w:numId w:val="17"/>
        </w:numPr>
      </w:pPr>
      <w:r w:rsidRPr="00C853E9">
        <w:t>Always disinfect any areas that may have had blood or other bodily fluids on them thoroughly.</w:t>
      </w:r>
    </w:p>
    <w:p w14:paraId="62C3079E" w14:textId="77777777" w:rsidR="00D614F9" w:rsidRPr="00C853E9" w:rsidRDefault="00D614F9" w:rsidP="00D614F9">
      <w:r w:rsidRPr="00C853E9">
        <w:rPr>
          <w:b/>
          <w:bCs/>
        </w:rPr>
        <w:t>WHAT IF I'M PREGNANT? </w:t>
      </w:r>
      <w:r w:rsidRPr="00C853E9">
        <w:t>If you are pregnant see a doctor. If you have HIV, you can pass it on to your baby before birth, during birth, or through breastfeeding. But there are medications that can make the chances you will infect your baby much smaller. Talk to a doctor and get tested for HIV as soon as possible if you think you are pregnant or if you want to get pregnant.</w:t>
      </w:r>
    </w:p>
    <w:p w14:paraId="621657A3" w14:textId="77777777" w:rsidR="00AC1159" w:rsidRDefault="00AC1159" w:rsidP="00D614F9">
      <w:pPr>
        <w:rPr>
          <w:b/>
          <w:bCs/>
        </w:rPr>
      </w:pPr>
    </w:p>
    <w:p w14:paraId="6F083454" w14:textId="48939DB7" w:rsidR="00D614F9" w:rsidRPr="00F966B3" w:rsidRDefault="00D614F9" w:rsidP="00D614F9">
      <w:r w:rsidRPr="00C853E9">
        <w:rPr>
          <w:b/>
          <w:bCs/>
        </w:rPr>
        <w:t>WAYS I WON'T GET HIV:</w:t>
      </w:r>
    </w:p>
    <w:p w14:paraId="28CC64FE" w14:textId="77777777" w:rsidR="00D614F9" w:rsidRPr="00C853E9" w:rsidRDefault="00D614F9">
      <w:pPr>
        <w:pStyle w:val="ListParagraph"/>
        <w:numPr>
          <w:ilvl w:val="0"/>
          <w:numId w:val="17"/>
        </w:numPr>
      </w:pPr>
      <w:r w:rsidRPr="00C853E9">
        <w:t>Shaking hands.</w:t>
      </w:r>
    </w:p>
    <w:p w14:paraId="444B1C18" w14:textId="77777777" w:rsidR="00D614F9" w:rsidRPr="00C853E9" w:rsidRDefault="00D614F9">
      <w:pPr>
        <w:pStyle w:val="ListParagraph"/>
        <w:numPr>
          <w:ilvl w:val="0"/>
          <w:numId w:val="17"/>
        </w:numPr>
      </w:pPr>
      <w:r w:rsidRPr="00C853E9">
        <w:t>Eating in a restaurant.</w:t>
      </w:r>
    </w:p>
    <w:p w14:paraId="1081AAED" w14:textId="77777777" w:rsidR="00D614F9" w:rsidRPr="00C853E9" w:rsidRDefault="00D614F9">
      <w:pPr>
        <w:pStyle w:val="ListParagraph"/>
        <w:numPr>
          <w:ilvl w:val="0"/>
          <w:numId w:val="17"/>
        </w:numPr>
      </w:pPr>
      <w:r w:rsidRPr="00C853E9">
        <w:t>Using restrooms.</w:t>
      </w:r>
    </w:p>
    <w:p w14:paraId="5986F048" w14:textId="77777777" w:rsidR="00D614F9" w:rsidRPr="00C853E9" w:rsidRDefault="00D614F9">
      <w:pPr>
        <w:pStyle w:val="ListParagraph"/>
        <w:numPr>
          <w:ilvl w:val="0"/>
          <w:numId w:val="17"/>
        </w:numPr>
      </w:pPr>
      <w:r w:rsidRPr="00C853E9">
        <w:t>Donating blood.</w:t>
      </w:r>
    </w:p>
    <w:p w14:paraId="28BCDE1D" w14:textId="77777777" w:rsidR="00D614F9" w:rsidRPr="00C853E9" w:rsidRDefault="00D614F9">
      <w:pPr>
        <w:pStyle w:val="ListParagraph"/>
        <w:numPr>
          <w:ilvl w:val="0"/>
          <w:numId w:val="17"/>
        </w:numPr>
      </w:pPr>
      <w:r w:rsidRPr="00C853E9">
        <w:t>Being bitten by a mosquito or other bug.</w:t>
      </w:r>
    </w:p>
    <w:p w14:paraId="70A1BDD9" w14:textId="77777777" w:rsidR="00D614F9" w:rsidRPr="00C853E9" w:rsidRDefault="00D614F9">
      <w:pPr>
        <w:pStyle w:val="ListParagraph"/>
        <w:numPr>
          <w:ilvl w:val="0"/>
          <w:numId w:val="17"/>
        </w:numPr>
      </w:pPr>
      <w:r w:rsidRPr="00C853E9">
        <w:t>Dry kissing.</w:t>
      </w:r>
    </w:p>
    <w:p w14:paraId="07FD1A55" w14:textId="77777777" w:rsidR="00D614F9" w:rsidRPr="00C853E9" w:rsidRDefault="00D614F9">
      <w:pPr>
        <w:pStyle w:val="ListParagraph"/>
        <w:numPr>
          <w:ilvl w:val="0"/>
          <w:numId w:val="17"/>
        </w:numPr>
      </w:pPr>
      <w:r w:rsidRPr="00C853E9">
        <w:t>Casual contact like living in the same household, or working with a person who carries HIV. Unless you are exposed to body fluids, you are not at risk for HIV infection.</w:t>
      </w:r>
    </w:p>
    <w:tbl>
      <w:tblPr>
        <w:tblW w:w="15000" w:type="dxa"/>
        <w:tblCellMar>
          <w:left w:w="0" w:type="dxa"/>
          <w:right w:w="0" w:type="dxa"/>
        </w:tblCellMar>
        <w:tblLook w:val="04A0" w:firstRow="1" w:lastRow="0" w:firstColumn="1" w:lastColumn="0" w:noHBand="0" w:noVBand="1"/>
      </w:tblPr>
      <w:tblGrid>
        <w:gridCol w:w="15000"/>
      </w:tblGrid>
      <w:tr w:rsidR="00D614F9" w:rsidRPr="00C853E9" w14:paraId="41FA8DB2" w14:textId="77777777" w:rsidTr="00AA4ACC">
        <w:tc>
          <w:tcPr>
            <w:tcW w:w="0" w:type="auto"/>
            <w:tcBorders>
              <w:top w:val="nil"/>
              <w:left w:val="nil"/>
              <w:bottom w:val="nil"/>
              <w:right w:val="nil"/>
            </w:tcBorders>
            <w:vAlign w:val="center"/>
            <w:hideMark/>
          </w:tcPr>
          <w:p w14:paraId="13E7E2F5" w14:textId="77777777" w:rsidR="00D614F9" w:rsidRPr="00C853E9" w:rsidRDefault="00D614F9" w:rsidP="00AA4ACC"/>
        </w:tc>
      </w:tr>
    </w:tbl>
    <w:p w14:paraId="4F3E4B36" w14:textId="50D187B6" w:rsidR="00D614F9" w:rsidRPr="00D614F9" w:rsidRDefault="00D614F9" w:rsidP="00D614F9">
      <w:r w:rsidRPr="00C853E9">
        <w:rPr>
          <w:b/>
          <w:bCs/>
        </w:rPr>
        <w:t>Tuberculosis</w:t>
      </w:r>
    </w:p>
    <w:p w14:paraId="23D8261E" w14:textId="11503AD8" w:rsidR="00D614F9" w:rsidRPr="00C853E9" w:rsidRDefault="00D614F9" w:rsidP="00D614F9">
      <w:r w:rsidRPr="00C853E9">
        <w:rPr>
          <w:b/>
          <w:bCs/>
        </w:rPr>
        <w:t>Tuberculosis </w:t>
      </w:r>
      <w:r w:rsidRPr="00C853E9">
        <w:t>(TB) is a disease that is spread from person to person through the air. TB usually affects the lungs. The bacteria is put into the air when a person with TB of the lung coughs, sneezes, laughs, or sings. TB can also affect other parts of the body, such as the brain, the kidney, or the spine. Tuberculosis is a disease that can be cured if treated properly.</w:t>
      </w:r>
    </w:p>
    <w:p w14:paraId="363B1C06" w14:textId="77777777" w:rsidR="00D614F9" w:rsidRPr="00C853E9" w:rsidRDefault="00D614F9" w:rsidP="00D614F9">
      <w:r w:rsidRPr="00C853E9">
        <w:t>TB can affect anyone of any age-Anyone can get TB, but some people are at higher risk. Those at higher risk include:</w:t>
      </w:r>
    </w:p>
    <w:p w14:paraId="14AEE4D4" w14:textId="77777777" w:rsidR="00D614F9" w:rsidRPr="00C853E9" w:rsidRDefault="00D614F9">
      <w:pPr>
        <w:pStyle w:val="ListParagraph"/>
        <w:numPr>
          <w:ilvl w:val="0"/>
          <w:numId w:val="17"/>
        </w:numPr>
      </w:pPr>
      <w:r w:rsidRPr="00C853E9">
        <w:t>Infants and small children</w:t>
      </w:r>
    </w:p>
    <w:p w14:paraId="148D59E8" w14:textId="77777777" w:rsidR="00D614F9" w:rsidRPr="00C853E9" w:rsidRDefault="00D614F9">
      <w:pPr>
        <w:pStyle w:val="ListParagraph"/>
        <w:numPr>
          <w:ilvl w:val="0"/>
          <w:numId w:val="17"/>
        </w:numPr>
      </w:pPr>
      <w:r w:rsidRPr="00C853E9">
        <w:t>People who share the same breathing space (such as family members, friends, coworkers) with someone who has TB disease</w:t>
      </w:r>
    </w:p>
    <w:p w14:paraId="0DBED84D" w14:textId="51C44CC0" w:rsidR="00D614F9" w:rsidRPr="00C853E9" w:rsidRDefault="00D614F9">
      <w:pPr>
        <w:pStyle w:val="ListParagraph"/>
        <w:numPr>
          <w:ilvl w:val="0"/>
          <w:numId w:val="17"/>
        </w:numPr>
      </w:pPr>
      <w:r w:rsidRPr="00C853E9">
        <w:t>People with who live in crowded conditions, have poor nutrition</w:t>
      </w:r>
      <w:r w:rsidR="00AA06CA">
        <w:t>,</w:t>
      </w:r>
      <w:r w:rsidRPr="00C853E9">
        <w:t xml:space="preserve"> and have poor health care</w:t>
      </w:r>
    </w:p>
    <w:p w14:paraId="6D7CAC3B" w14:textId="26C00BB3" w:rsidR="00D614F9" w:rsidRPr="00C853E9" w:rsidRDefault="00AA06CA">
      <w:pPr>
        <w:pStyle w:val="ListParagraph"/>
        <w:numPr>
          <w:ilvl w:val="0"/>
          <w:numId w:val="17"/>
        </w:numPr>
      </w:pPr>
      <w:r>
        <w:t>People who are homeless</w:t>
      </w:r>
    </w:p>
    <w:p w14:paraId="62E83E5B" w14:textId="77777777" w:rsidR="00D614F9" w:rsidRPr="00C853E9" w:rsidRDefault="00D614F9">
      <w:pPr>
        <w:pStyle w:val="ListParagraph"/>
        <w:numPr>
          <w:ilvl w:val="0"/>
          <w:numId w:val="17"/>
        </w:numPr>
      </w:pPr>
      <w:r w:rsidRPr="00C853E9">
        <w:t>People born in countries where a lot of people have TB</w:t>
      </w:r>
    </w:p>
    <w:p w14:paraId="02AD0AB2" w14:textId="77777777" w:rsidR="00D614F9" w:rsidRPr="00C853E9" w:rsidRDefault="00D614F9">
      <w:pPr>
        <w:pStyle w:val="ListParagraph"/>
        <w:numPr>
          <w:ilvl w:val="0"/>
          <w:numId w:val="17"/>
        </w:numPr>
      </w:pPr>
      <w:r w:rsidRPr="00C853E9">
        <w:t>Nursing home residents</w:t>
      </w:r>
    </w:p>
    <w:p w14:paraId="437FF5C7" w14:textId="214D740C" w:rsidR="00D614F9" w:rsidRPr="00C853E9" w:rsidRDefault="00AA06CA">
      <w:pPr>
        <w:pStyle w:val="ListParagraph"/>
        <w:numPr>
          <w:ilvl w:val="0"/>
          <w:numId w:val="17"/>
        </w:numPr>
      </w:pPr>
      <w:r>
        <w:t>People who are incarcerated</w:t>
      </w:r>
    </w:p>
    <w:p w14:paraId="1F04A618" w14:textId="286F0392" w:rsidR="00D614F9" w:rsidRPr="00C853E9" w:rsidRDefault="00AA06CA">
      <w:pPr>
        <w:pStyle w:val="ListParagraph"/>
        <w:numPr>
          <w:ilvl w:val="0"/>
          <w:numId w:val="17"/>
        </w:numPr>
      </w:pPr>
      <w:r>
        <w:t xml:space="preserve">IV </w:t>
      </w:r>
      <w:r w:rsidR="00D614F9" w:rsidRPr="00C853E9">
        <w:t>drug users</w:t>
      </w:r>
      <w:r>
        <w:t xml:space="preserve"> and those with an alcohol use disorder</w:t>
      </w:r>
    </w:p>
    <w:p w14:paraId="00482D26" w14:textId="472ED610" w:rsidR="00D614F9" w:rsidRPr="00C853E9" w:rsidRDefault="00D614F9">
      <w:pPr>
        <w:pStyle w:val="ListParagraph"/>
        <w:numPr>
          <w:ilvl w:val="0"/>
          <w:numId w:val="17"/>
        </w:numPr>
      </w:pPr>
      <w:r w:rsidRPr="00C853E9">
        <w:lastRenderedPageBreak/>
        <w:t>People with medical conditions such as diabetes, kidney failure, and those with weakened immune systems (such as HIV or AIDS)</w:t>
      </w:r>
    </w:p>
    <w:p w14:paraId="6BF8B6A3" w14:textId="77777777" w:rsidR="00D614F9" w:rsidRPr="00C853E9" w:rsidRDefault="00D614F9" w:rsidP="00D614F9">
      <w:r w:rsidRPr="00C853E9">
        <w:rPr>
          <w:b/>
          <w:bCs/>
        </w:rPr>
        <w:t>The symptoms of TB disease may include:</w:t>
      </w:r>
    </w:p>
    <w:p w14:paraId="3F836F05" w14:textId="77777777" w:rsidR="00D614F9" w:rsidRPr="00C853E9" w:rsidRDefault="00D614F9" w:rsidP="00D614F9">
      <w:r w:rsidRPr="00C853E9">
        <w:t>Feeling weak or sick, rapid weight loss (over a few weeks or months), fever, or night sweats. Symptoms of TB of the lungs may include: cough, chest pain, or coughing up blood. Other symptoms depend on the particular part of the body that is affected.</w:t>
      </w:r>
    </w:p>
    <w:p w14:paraId="2DC9257F" w14:textId="36EB361B" w:rsidR="00D614F9" w:rsidRPr="00C853E9" w:rsidRDefault="00D614F9" w:rsidP="00D614F9">
      <w:r w:rsidRPr="00C853E9">
        <w:t>People with TB disease are sick from bacteria that are active in their body. They usually have one or more of the symptoms of TB. These people are often capable of giving the infection to others. Medications can cure TB disease; usually three or more medications are given to treat TB disease. People with TB infection (without disease) have the bacteria that cause</w:t>
      </w:r>
      <w:r w:rsidR="00AA06CA">
        <w:t>s</w:t>
      </w:r>
      <w:r w:rsidRPr="00C853E9">
        <w:t xml:space="preserve"> TB in their body. They are not sick because the germ lies inactive in the body. They cannot spread the germ to others. Medications are often prescribed for these people to prevent them from developing TB disease in the future.</w:t>
      </w:r>
      <w:r w:rsidRPr="00C853E9">
        <w:rPr>
          <w:b/>
          <w:bCs/>
        </w:rPr>
        <w:t> </w:t>
      </w:r>
      <w:r w:rsidRPr="00AA06CA">
        <w:t xml:space="preserve">A skin </w:t>
      </w:r>
      <w:r w:rsidR="00AA06CA">
        <w:t xml:space="preserve">or bloodwork </w:t>
      </w:r>
      <w:r w:rsidRPr="00AA06CA">
        <w:t>test can tell if you have TB infection</w:t>
      </w:r>
      <w:r w:rsidR="00AA06CA">
        <w:rPr>
          <w:b/>
          <w:bCs/>
        </w:rPr>
        <w:t>.</w:t>
      </w:r>
    </w:p>
    <w:p w14:paraId="3BCE7C23" w14:textId="51300A32" w:rsidR="00D614F9" w:rsidRPr="00C853E9" w:rsidRDefault="00D614F9" w:rsidP="00AA06CA">
      <w:r w:rsidRPr="00C853E9">
        <w:t>You can get a TB test from a doctor or local health department</w:t>
      </w:r>
      <w:r w:rsidR="00AA06CA">
        <w:t>; each client has a blood test on admission to the program</w:t>
      </w:r>
      <w:r w:rsidRPr="00C853E9">
        <w:t>. A negative test usually means the person is not infected. However, the test may be falsely negative in a person who has been recently infected (it usually takes 2 to 10 weeks after exposure to a person with TB disease for the skin test to be positive). The test may also be falsely negative if the person’s immune system is not working properly.</w:t>
      </w:r>
    </w:p>
    <w:p w14:paraId="04D9F652" w14:textId="56221943" w:rsidR="00D614F9" w:rsidRPr="00C853E9" w:rsidRDefault="00D614F9" w:rsidP="00AA06CA">
      <w:r w:rsidRPr="00C853E9">
        <w:t>A positive skin test reaction usually means that the person has been infected with TB. It does not necessarily mean that the person has TB disease. Other tests, such as an x-ray or sputum sample, are needed to see if the person has TB disease. </w:t>
      </w:r>
    </w:p>
    <w:p w14:paraId="6DE34114" w14:textId="4B3DD97B" w:rsidR="00D614F9" w:rsidRPr="00C853E9" w:rsidRDefault="00D614F9" w:rsidP="00AA06CA">
      <w:r w:rsidRPr="00C853E9">
        <w:rPr>
          <w:b/>
          <w:bCs/>
        </w:rPr>
        <w:t>If you have TB infection or disease:</w:t>
      </w:r>
    </w:p>
    <w:p w14:paraId="4244877D" w14:textId="77777777" w:rsidR="00D614F9" w:rsidRPr="00C853E9" w:rsidRDefault="00D614F9">
      <w:pPr>
        <w:pStyle w:val="ListParagraph"/>
        <w:numPr>
          <w:ilvl w:val="0"/>
          <w:numId w:val="17"/>
        </w:numPr>
      </w:pPr>
      <w:r w:rsidRPr="00C853E9">
        <w:t>Do all the required tests that your doctor orders.</w:t>
      </w:r>
    </w:p>
    <w:p w14:paraId="5A0E9D8D" w14:textId="77777777" w:rsidR="00D614F9" w:rsidRPr="00C853E9" w:rsidRDefault="00D614F9">
      <w:pPr>
        <w:pStyle w:val="ListParagraph"/>
        <w:numPr>
          <w:ilvl w:val="0"/>
          <w:numId w:val="17"/>
        </w:numPr>
      </w:pPr>
      <w:r w:rsidRPr="00C853E9">
        <w:t>Stay at home until your doctor tells you it is okay to return to work or school. Do not have visitors (especially children) until your doctor says it is okay.</w:t>
      </w:r>
    </w:p>
    <w:p w14:paraId="7DBF0D93" w14:textId="77777777" w:rsidR="00D614F9" w:rsidRPr="00C853E9" w:rsidRDefault="00D614F9">
      <w:pPr>
        <w:pStyle w:val="ListParagraph"/>
        <w:numPr>
          <w:ilvl w:val="0"/>
          <w:numId w:val="17"/>
        </w:numPr>
      </w:pPr>
      <w:r w:rsidRPr="00C853E9">
        <w:t>Keep all your medical appointments.</w:t>
      </w:r>
    </w:p>
    <w:p w14:paraId="65FA5183" w14:textId="0C797201" w:rsidR="00D614F9" w:rsidRPr="00C853E9" w:rsidRDefault="00D614F9">
      <w:pPr>
        <w:pStyle w:val="ListParagraph"/>
        <w:numPr>
          <w:ilvl w:val="0"/>
          <w:numId w:val="17"/>
        </w:numPr>
      </w:pPr>
      <w:r w:rsidRPr="00C853E9">
        <w:t>Take all your TB medications as prescribed. The local health department will provide the correct antibiotics and make sure they are taken correctly. Medications must be taken for long periods of time (6 months or more).</w:t>
      </w:r>
    </w:p>
    <w:p w14:paraId="4F15F923" w14:textId="77777777" w:rsidR="00D614F9" w:rsidRPr="00C853E9" w:rsidRDefault="00D614F9" w:rsidP="00AA06CA">
      <w:pPr>
        <w:rPr>
          <w:b/>
          <w:bCs/>
        </w:rPr>
      </w:pPr>
      <w:r w:rsidRPr="00C853E9">
        <w:rPr>
          <w:b/>
          <w:bCs/>
        </w:rPr>
        <w:t>STD Frequently Asked Questions</w:t>
      </w:r>
    </w:p>
    <w:p w14:paraId="3A097EDC" w14:textId="6A6F7098" w:rsidR="00D614F9" w:rsidRPr="00C853E9" w:rsidRDefault="00D614F9" w:rsidP="007D0CFD">
      <w:r w:rsidRPr="00C853E9">
        <w:t>All of these diseases are passed on by having unprotected sex (any kind of sex) with someone who is infected. You cannot tell someone is infected by his or her looks!!  Remember, STDs including HIV (the virus which causes AIDS) are passed on by having unprotected sex.</w:t>
      </w:r>
    </w:p>
    <w:p w14:paraId="5C96EDCA" w14:textId="28CD75D9" w:rsidR="00D614F9" w:rsidRPr="00C853E9" w:rsidRDefault="00D614F9" w:rsidP="007D0CFD">
      <w:r w:rsidRPr="00C853E9">
        <w:rPr>
          <w:b/>
          <w:bCs/>
        </w:rPr>
        <w:t>Primary Syphilis</w:t>
      </w:r>
    </w:p>
    <w:p w14:paraId="52097D6E" w14:textId="2A25BCA6" w:rsidR="00D614F9" w:rsidRPr="00C853E9" w:rsidRDefault="00D614F9" w:rsidP="007D0CFD">
      <w:r w:rsidRPr="007D0CFD">
        <w:lastRenderedPageBreak/>
        <w:t>Symptoms </w:t>
      </w:r>
      <w:r w:rsidRPr="00C853E9">
        <w:t>-</w:t>
      </w:r>
      <w:r w:rsidR="007D0CFD">
        <w:t xml:space="preserve"> </w:t>
      </w:r>
      <w:r w:rsidRPr="007D0CFD">
        <w:t>non-painful sore on the genital area (outside or inside) or on the lip or inside the mouth, caused by sexual contact with someone who has a primary syphilis sore.</w:t>
      </w:r>
    </w:p>
    <w:p w14:paraId="511DD248" w14:textId="77777777" w:rsidR="00D614F9" w:rsidRPr="00C853E9" w:rsidRDefault="00D614F9" w:rsidP="007D0CFD">
      <w:r w:rsidRPr="007D0CFD">
        <w:t>Frequently asked questions </w:t>
      </w:r>
      <w:r w:rsidRPr="00C853E9">
        <w:t>-</w:t>
      </w:r>
    </w:p>
    <w:p w14:paraId="58505188" w14:textId="77777777" w:rsidR="007D0CFD" w:rsidRDefault="00D614F9">
      <w:pPr>
        <w:pStyle w:val="ListParagraph"/>
        <w:numPr>
          <w:ilvl w:val="0"/>
          <w:numId w:val="17"/>
        </w:numPr>
      </w:pPr>
      <w:r w:rsidRPr="007D0CFD">
        <w:t xml:space="preserve">Do I always know I have it? </w:t>
      </w:r>
    </w:p>
    <w:p w14:paraId="0018EE86" w14:textId="1871943B" w:rsidR="00D614F9" w:rsidRPr="00C853E9" w:rsidRDefault="00D614F9">
      <w:pPr>
        <w:pStyle w:val="ListParagraph"/>
        <w:numPr>
          <w:ilvl w:val="1"/>
          <w:numId w:val="17"/>
        </w:numPr>
      </w:pPr>
      <w:r w:rsidRPr="007D0CFD">
        <w:t>No, the sore may be where you can't see it (inside the vagina, for example).</w:t>
      </w:r>
    </w:p>
    <w:p w14:paraId="779C00FC" w14:textId="77777777" w:rsidR="007D0CFD" w:rsidRDefault="00D614F9">
      <w:pPr>
        <w:pStyle w:val="ListParagraph"/>
        <w:numPr>
          <w:ilvl w:val="0"/>
          <w:numId w:val="17"/>
        </w:numPr>
      </w:pPr>
      <w:r w:rsidRPr="007D0CFD">
        <w:t xml:space="preserve">Does the sore last a long time? </w:t>
      </w:r>
    </w:p>
    <w:p w14:paraId="57834067" w14:textId="1C54ADCB" w:rsidR="00D614F9" w:rsidRPr="00C853E9" w:rsidRDefault="00D614F9">
      <w:pPr>
        <w:pStyle w:val="ListParagraph"/>
        <w:numPr>
          <w:ilvl w:val="1"/>
          <w:numId w:val="17"/>
        </w:numPr>
      </w:pPr>
      <w:r w:rsidRPr="007D0CFD">
        <w:t>No, the sore is only present for one or two weeks, then no symptoms until the next stage, secondary syphilis.</w:t>
      </w:r>
    </w:p>
    <w:p w14:paraId="1B41EBEA" w14:textId="77777777" w:rsidR="007D0CFD" w:rsidRDefault="00D614F9">
      <w:pPr>
        <w:pStyle w:val="ListParagraph"/>
        <w:numPr>
          <w:ilvl w:val="0"/>
          <w:numId w:val="17"/>
        </w:numPr>
      </w:pPr>
      <w:r w:rsidRPr="007D0CFD">
        <w:t xml:space="preserve">Can a pregnant woman pass syphilis on to her unborn baby? </w:t>
      </w:r>
    </w:p>
    <w:p w14:paraId="614A9253" w14:textId="36DEC540" w:rsidR="00D614F9" w:rsidRPr="00C853E9" w:rsidRDefault="00D614F9">
      <w:pPr>
        <w:pStyle w:val="ListParagraph"/>
        <w:numPr>
          <w:ilvl w:val="1"/>
          <w:numId w:val="17"/>
        </w:numPr>
      </w:pPr>
      <w:r w:rsidRPr="007D0CFD">
        <w:t>Yes, a pregnant woman with syphilis who is not treated early enough can pass syphilis on to her baby, who can be born critically </w:t>
      </w:r>
      <w:r w:rsidRPr="00C853E9">
        <w:t>ill.</w:t>
      </w:r>
    </w:p>
    <w:p w14:paraId="144140EE" w14:textId="06506C8F" w:rsidR="00D614F9" w:rsidRPr="00C853E9" w:rsidRDefault="00D614F9" w:rsidP="007D0CFD">
      <w:r w:rsidRPr="00C853E9">
        <w:rPr>
          <w:b/>
          <w:bCs/>
        </w:rPr>
        <w:t>Secondary Syphilis</w:t>
      </w:r>
    </w:p>
    <w:p w14:paraId="7EEEBC21" w14:textId="53A5EAF2" w:rsidR="00D614F9" w:rsidRPr="00C853E9" w:rsidRDefault="00D614F9" w:rsidP="007D0CFD">
      <w:r w:rsidRPr="00C853E9">
        <w:t>Symptoms -</w:t>
      </w:r>
      <w:r w:rsidR="007D0CFD">
        <w:t xml:space="preserve"> </w:t>
      </w:r>
      <w:r w:rsidRPr="00C853E9">
        <w:t>non-painful, non-itchy rash typically on palms of hands, soles of feet, may be anywhere on body. Rash is often spots that are darker than the normal skin color.</w:t>
      </w:r>
    </w:p>
    <w:p w14:paraId="27B43BF2" w14:textId="77777777" w:rsidR="00D614F9" w:rsidRPr="00C853E9" w:rsidRDefault="00D614F9" w:rsidP="007D0CFD">
      <w:r w:rsidRPr="00C853E9">
        <w:t>Frequently asked questions -</w:t>
      </w:r>
    </w:p>
    <w:p w14:paraId="2CD8BEA7" w14:textId="77777777" w:rsidR="007D0CFD" w:rsidRDefault="00D614F9">
      <w:pPr>
        <w:pStyle w:val="ListParagraph"/>
        <w:numPr>
          <w:ilvl w:val="0"/>
          <w:numId w:val="17"/>
        </w:numPr>
      </w:pPr>
      <w:r w:rsidRPr="00C853E9">
        <w:t xml:space="preserve">Is the rash contagious?   </w:t>
      </w:r>
    </w:p>
    <w:p w14:paraId="486C736D" w14:textId="700FE533" w:rsidR="00D614F9" w:rsidRPr="00C853E9" w:rsidRDefault="00D614F9">
      <w:pPr>
        <w:pStyle w:val="ListParagraph"/>
        <w:numPr>
          <w:ilvl w:val="1"/>
          <w:numId w:val="17"/>
        </w:numPr>
      </w:pPr>
      <w:r w:rsidRPr="00C853E9">
        <w:t>Yes, the rash is very contagious.</w:t>
      </w:r>
    </w:p>
    <w:p w14:paraId="12AFE53F" w14:textId="77777777" w:rsidR="007D0CFD" w:rsidRDefault="00D614F9">
      <w:pPr>
        <w:pStyle w:val="ListParagraph"/>
        <w:numPr>
          <w:ilvl w:val="0"/>
          <w:numId w:val="17"/>
        </w:numPr>
      </w:pPr>
      <w:r w:rsidRPr="00C853E9">
        <w:t xml:space="preserve">Is syphilis curable?  </w:t>
      </w:r>
    </w:p>
    <w:p w14:paraId="03950580" w14:textId="1216E084" w:rsidR="00D614F9" w:rsidRPr="00C853E9" w:rsidRDefault="00D614F9">
      <w:pPr>
        <w:pStyle w:val="ListParagraph"/>
        <w:numPr>
          <w:ilvl w:val="1"/>
          <w:numId w:val="17"/>
        </w:numPr>
      </w:pPr>
      <w:r w:rsidRPr="00C853E9">
        <w:t>Yes, it is easily curable with the right type and amount of penicillin.  </w:t>
      </w:r>
    </w:p>
    <w:p w14:paraId="22023BEC" w14:textId="77777777" w:rsidR="007D0CFD" w:rsidRDefault="00D614F9">
      <w:pPr>
        <w:pStyle w:val="ListParagraph"/>
        <w:numPr>
          <w:ilvl w:val="0"/>
          <w:numId w:val="17"/>
        </w:numPr>
      </w:pPr>
      <w:r w:rsidRPr="00C853E9">
        <w:t xml:space="preserve">What if I am allergic to penicillin?   </w:t>
      </w:r>
    </w:p>
    <w:p w14:paraId="0700BE5E" w14:textId="00FA6BB2" w:rsidR="00D614F9" w:rsidRPr="00C853E9" w:rsidRDefault="00D614F9">
      <w:pPr>
        <w:pStyle w:val="ListParagraph"/>
        <w:numPr>
          <w:ilvl w:val="1"/>
          <w:numId w:val="17"/>
        </w:numPr>
      </w:pPr>
      <w:r w:rsidRPr="00C853E9">
        <w:t>Another type of antibiotic may be used.</w:t>
      </w:r>
    </w:p>
    <w:p w14:paraId="3DD8848B" w14:textId="7C3DF657" w:rsidR="00D614F9" w:rsidRPr="00C853E9" w:rsidRDefault="00D614F9" w:rsidP="007D0CFD">
      <w:r w:rsidRPr="00C853E9">
        <w:rPr>
          <w:b/>
          <w:bCs/>
        </w:rPr>
        <w:t>Herpes</w:t>
      </w:r>
    </w:p>
    <w:p w14:paraId="3661A94E" w14:textId="70205AB1" w:rsidR="00D614F9" w:rsidRPr="00C853E9" w:rsidRDefault="00D614F9" w:rsidP="007D0CFD">
      <w:r w:rsidRPr="00C853E9">
        <w:t>Symptoms -</w:t>
      </w:r>
      <w:r w:rsidR="007D0CFD">
        <w:t xml:space="preserve"> </w:t>
      </w:r>
      <w:r w:rsidRPr="00C853E9">
        <w:t>painful blisters on the genital area can come and go. Some persons have sores that are so mildly painful that they do not know they have them. Others also can have sores in areas that are not seen, again like in the vagina, or mouth.</w:t>
      </w:r>
    </w:p>
    <w:p w14:paraId="5BA8E2E3" w14:textId="77777777" w:rsidR="00D614F9" w:rsidRPr="00C853E9" w:rsidRDefault="00D614F9" w:rsidP="007D0CFD">
      <w:r w:rsidRPr="00C853E9">
        <w:t>Frequently asked questions -</w:t>
      </w:r>
    </w:p>
    <w:p w14:paraId="55C06A23" w14:textId="77777777" w:rsidR="007D0CFD" w:rsidRDefault="00D614F9">
      <w:pPr>
        <w:pStyle w:val="ListParagraph"/>
        <w:numPr>
          <w:ilvl w:val="0"/>
          <w:numId w:val="25"/>
        </w:numPr>
      </w:pPr>
      <w:r w:rsidRPr="00C853E9">
        <w:t xml:space="preserve">Can I get herpes or pass it on even if there are no sores present? </w:t>
      </w:r>
    </w:p>
    <w:p w14:paraId="7914F83A" w14:textId="1596D043" w:rsidR="00D614F9" w:rsidRPr="00C853E9" w:rsidRDefault="00D614F9">
      <w:pPr>
        <w:pStyle w:val="ListParagraph"/>
        <w:numPr>
          <w:ilvl w:val="1"/>
          <w:numId w:val="25"/>
        </w:numPr>
      </w:pPr>
      <w:r w:rsidRPr="00C853E9">
        <w:t>Yes, it may be possible to get it or pass it on even if no sores are present.</w:t>
      </w:r>
    </w:p>
    <w:p w14:paraId="0F36A529" w14:textId="77777777" w:rsidR="007D0CFD" w:rsidRDefault="00D614F9">
      <w:pPr>
        <w:pStyle w:val="ListParagraph"/>
        <w:numPr>
          <w:ilvl w:val="0"/>
          <w:numId w:val="25"/>
        </w:numPr>
      </w:pPr>
      <w:r w:rsidRPr="00C853E9">
        <w:t>How long does the infection last? </w:t>
      </w:r>
    </w:p>
    <w:p w14:paraId="3C88AE4D" w14:textId="2EA87253" w:rsidR="00D614F9" w:rsidRPr="00C853E9" w:rsidRDefault="00D614F9">
      <w:pPr>
        <w:pStyle w:val="ListParagraph"/>
        <w:numPr>
          <w:ilvl w:val="1"/>
          <w:numId w:val="25"/>
        </w:numPr>
      </w:pPr>
      <w:r w:rsidRPr="00C853E9">
        <w:t xml:space="preserve"> It will remain in your body for the remainder of your life.</w:t>
      </w:r>
      <w:r w:rsidR="007D0CFD">
        <w:t xml:space="preserve"> </w:t>
      </w:r>
      <w:r w:rsidRPr="00C853E9">
        <w:t>You can be infectious to others at periodic times for many years.</w:t>
      </w:r>
    </w:p>
    <w:p w14:paraId="629394CA" w14:textId="77777777" w:rsidR="00D614F9" w:rsidRPr="00C853E9" w:rsidRDefault="00D614F9" w:rsidP="00D614F9">
      <w:pPr>
        <w:ind w:left="1260"/>
      </w:pPr>
      <w:r w:rsidRPr="00C853E9">
        <w:t> </w:t>
      </w:r>
    </w:p>
    <w:p w14:paraId="2A092A83" w14:textId="20B67EF4" w:rsidR="00D614F9" w:rsidRPr="00C853E9" w:rsidRDefault="00D614F9" w:rsidP="007D0CFD">
      <w:r w:rsidRPr="00C853E9">
        <w:rPr>
          <w:b/>
          <w:bCs/>
        </w:rPr>
        <w:t>Chlamydia</w:t>
      </w:r>
    </w:p>
    <w:p w14:paraId="3CB0BF14" w14:textId="1431276B" w:rsidR="00D614F9" w:rsidRPr="00C853E9" w:rsidRDefault="00D614F9" w:rsidP="007D0CFD">
      <w:r w:rsidRPr="00C853E9">
        <w:lastRenderedPageBreak/>
        <w:t>Symptoms -</w:t>
      </w:r>
      <w:r w:rsidR="007D0CFD">
        <w:t xml:space="preserve"> </w:t>
      </w:r>
      <w:r w:rsidRPr="00C853E9">
        <w:t>yellow or mucous-like discharge from the vagina or penis. Usually, the discharge is of a small amount.  Most persons do not have any symptoms.</w:t>
      </w:r>
    </w:p>
    <w:p w14:paraId="639F33C9" w14:textId="77777777" w:rsidR="00D614F9" w:rsidRPr="00C853E9" w:rsidRDefault="00D614F9" w:rsidP="007D0CFD">
      <w:r w:rsidRPr="00C853E9">
        <w:t>Frequently asked questions -</w:t>
      </w:r>
    </w:p>
    <w:p w14:paraId="2855EA2A" w14:textId="77777777" w:rsidR="007D0CFD" w:rsidRDefault="00D614F9">
      <w:pPr>
        <w:pStyle w:val="ListParagraph"/>
        <w:numPr>
          <w:ilvl w:val="0"/>
          <w:numId w:val="26"/>
        </w:numPr>
      </w:pPr>
      <w:r w:rsidRPr="00C853E9">
        <w:t xml:space="preserve">Can Chlamydia cause me to become sterile? </w:t>
      </w:r>
    </w:p>
    <w:p w14:paraId="6D9297D5" w14:textId="75E0490F" w:rsidR="00D614F9" w:rsidRPr="00C853E9" w:rsidRDefault="00D614F9">
      <w:pPr>
        <w:pStyle w:val="ListParagraph"/>
        <w:numPr>
          <w:ilvl w:val="1"/>
          <w:numId w:val="26"/>
        </w:numPr>
      </w:pPr>
      <w:r w:rsidRPr="00C853E9">
        <w:t>Yes, untreated Chlamydia can cause infertility or long-term pelvic pain.</w:t>
      </w:r>
    </w:p>
    <w:p w14:paraId="49731598" w14:textId="77777777" w:rsidR="007D0CFD" w:rsidRDefault="00D614F9">
      <w:pPr>
        <w:pStyle w:val="ListParagraph"/>
        <w:numPr>
          <w:ilvl w:val="0"/>
          <w:numId w:val="26"/>
        </w:numPr>
      </w:pPr>
      <w:r w:rsidRPr="00C853E9">
        <w:t xml:space="preserve">Can I have it and not know I have it?  </w:t>
      </w:r>
    </w:p>
    <w:p w14:paraId="2BD7C336" w14:textId="385FACC0" w:rsidR="00D614F9" w:rsidRPr="00C853E9" w:rsidRDefault="00D614F9">
      <w:pPr>
        <w:pStyle w:val="ListParagraph"/>
        <w:numPr>
          <w:ilvl w:val="1"/>
          <w:numId w:val="26"/>
        </w:numPr>
      </w:pPr>
      <w:r w:rsidRPr="00C853E9">
        <w:t>Yes, you may not have any symptoms but be infected for several years.</w:t>
      </w:r>
    </w:p>
    <w:p w14:paraId="0F68B9C6" w14:textId="77777777" w:rsidR="00D614F9" w:rsidRPr="00C853E9" w:rsidRDefault="00D614F9" w:rsidP="00D614F9">
      <w:pPr>
        <w:ind w:left="1260"/>
      </w:pPr>
      <w:r w:rsidRPr="00C853E9">
        <w:t> </w:t>
      </w:r>
    </w:p>
    <w:p w14:paraId="0F3B9A2F" w14:textId="77777777" w:rsidR="007D0CFD" w:rsidRDefault="007D0CFD" w:rsidP="007D0CFD">
      <w:pPr>
        <w:rPr>
          <w:b/>
          <w:bCs/>
        </w:rPr>
      </w:pPr>
    </w:p>
    <w:p w14:paraId="3B844875" w14:textId="77777777" w:rsidR="007D0CFD" w:rsidRDefault="007D0CFD" w:rsidP="007D0CFD">
      <w:pPr>
        <w:rPr>
          <w:b/>
          <w:bCs/>
        </w:rPr>
      </w:pPr>
    </w:p>
    <w:p w14:paraId="3FAB9B86" w14:textId="7C96AD53" w:rsidR="00D614F9" w:rsidRPr="00C853E9" w:rsidRDefault="00D614F9" w:rsidP="007D0CFD">
      <w:r w:rsidRPr="00C853E9">
        <w:rPr>
          <w:b/>
          <w:bCs/>
        </w:rPr>
        <w:t>Gonorrhea</w:t>
      </w:r>
    </w:p>
    <w:p w14:paraId="2DD62625" w14:textId="77777777" w:rsidR="00D614F9" w:rsidRPr="00C853E9" w:rsidRDefault="00D614F9" w:rsidP="007D0CFD">
      <w:r w:rsidRPr="00C853E9">
        <w:t>Symptoms -yellow or greenish or mucous-like discharge. A female may have burning on urination or pelvic pain. A male often may have burning with urination and may notice a stain in his underwear.</w:t>
      </w:r>
    </w:p>
    <w:p w14:paraId="0B8224E6" w14:textId="77777777" w:rsidR="00D614F9" w:rsidRPr="00C853E9" w:rsidRDefault="00D614F9" w:rsidP="007D0CFD">
      <w:r w:rsidRPr="00C853E9">
        <w:t>Frequently asked questions -</w:t>
      </w:r>
    </w:p>
    <w:p w14:paraId="175BEC83" w14:textId="77777777" w:rsidR="007D0CFD" w:rsidRDefault="00D614F9">
      <w:pPr>
        <w:pStyle w:val="ListParagraph"/>
        <w:numPr>
          <w:ilvl w:val="0"/>
          <w:numId w:val="27"/>
        </w:numPr>
      </w:pPr>
      <w:r w:rsidRPr="00C853E9">
        <w:t>Can a male have gonorrhea and not know they have it? </w:t>
      </w:r>
    </w:p>
    <w:p w14:paraId="1ACE3BA9" w14:textId="05869702" w:rsidR="00D614F9" w:rsidRPr="00C853E9" w:rsidRDefault="00D614F9">
      <w:pPr>
        <w:pStyle w:val="ListParagraph"/>
        <w:numPr>
          <w:ilvl w:val="1"/>
          <w:numId w:val="27"/>
        </w:numPr>
      </w:pPr>
      <w:r w:rsidRPr="00C853E9">
        <w:t xml:space="preserve"> Yes, it is possible to not have any symptoms. It is more likely that a female would have milder symptoms, or not have any symptoms than for a male.</w:t>
      </w:r>
    </w:p>
    <w:p w14:paraId="74D38D65" w14:textId="77777777" w:rsidR="00D614F9" w:rsidRPr="00C853E9" w:rsidRDefault="00D614F9" w:rsidP="00D614F9">
      <w:pPr>
        <w:ind w:left="1260"/>
      </w:pPr>
      <w:r w:rsidRPr="00C853E9">
        <w:t> </w:t>
      </w:r>
    </w:p>
    <w:p w14:paraId="72E45513" w14:textId="77777777" w:rsidR="00D614F9" w:rsidRPr="00C853E9" w:rsidRDefault="00D614F9" w:rsidP="009634F7">
      <w:r w:rsidRPr="00C853E9">
        <w:rPr>
          <w:b/>
          <w:bCs/>
        </w:rPr>
        <w:t>Genital warts</w:t>
      </w:r>
    </w:p>
    <w:p w14:paraId="78CC20B2" w14:textId="77777777" w:rsidR="00D614F9" w:rsidRPr="00C853E9" w:rsidRDefault="00D614F9" w:rsidP="009634F7">
      <w:r w:rsidRPr="00C853E9">
        <w:t>Symptoms - cauliflower-like warty growths that may be on the genital area, outside or inside.</w:t>
      </w:r>
    </w:p>
    <w:p w14:paraId="4A0F4C7E" w14:textId="77777777" w:rsidR="00D614F9" w:rsidRPr="00C853E9" w:rsidRDefault="00D614F9" w:rsidP="009634F7">
      <w:r w:rsidRPr="00C853E9">
        <w:t>Frequently asked questions -</w:t>
      </w:r>
    </w:p>
    <w:p w14:paraId="0F61F1A3" w14:textId="77777777" w:rsidR="009634F7" w:rsidRDefault="00D614F9">
      <w:pPr>
        <w:pStyle w:val="ListParagraph"/>
        <w:numPr>
          <w:ilvl w:val="0"/>
          <w:numId w:val="17"/>
        </w:numPr>
      </w:pPr>
      <w:r w:rsidRPr="00C853E9">
        <w:t xml:space="preserve">Why do I have these warts and my partner doesn't? </w:t>
      </w:r>
    </w:p>
    <w:p w14:paraId="47F6531E" w14:textId="1BE7317B" w:rsidR="00D614F9" w:rsidRPr="00C853E9" w:rsidRDefault="00D614F9">
      <w:pPr>
        <w:pStyle w:val="ListParagraph"/>
        <w:numPr>
          <w:ilvl w:val="1"/>
          <w:numId w:val="17"/>
        </w:numPr>
      </w:pPr>
      <w:r w:rsidRPr="00C853E9">
        <w:t>It is possible for one person to have genital warts and their partner to be free of warts.</w:t>
      </w:r>
    </w:p>
    <w:p w14:paraId="4FDF7B77" w14:textId="77777777" w:rsidR="00D614F9" w:rsidRPr="00C853E9" w:rsidRDefault="00D614F9">
      <w:pPr>
        <w:pStyle w:val="ListParagraph"/>
        <w:numPr>
          <w:ilvl w:val="0"/>
          <w:numId w:val="17"/>
        </w:numPr>
      </w:pPr>
      <w:r w:rsidRPr="00C853E9">
        <w:t>I was told that I have an abnormal Pap smear caused by this virus, why didn't I have warts?</w:t>
      </w:r>
    </w:p>
    <w:p w14:paraId="4B906EB4" w14:textId="77777777" w:rsidR="00D614F9" w:rsidRPr="00C853E9" w:rsidRDefault="00D614F9">
      <w:pPr>
        <w:pStyle w:val="ListParagraph"/>
        <w:numPr>
          <w:ilvl w:val="1"/>
          <w:numId w:val="17"/>
        </w:numPr>
      </w:pPr>
      <w:r w:rsidRPr="00C853E9">
        <w:t>There are several types of HPV, some of which cause genital warts and some cause abnormal Pap smears.</w:t>
      </w:r>
    </w:p>
    <w:p w14:paraId="792553D8" w14:textId="77777777" w:rsidR="009634F7" w:rsidRDefault="00D614F9">
      <w:pPr>
        <w:pStyle w:val="ListParagraph"/>
        <w:numPr>
          <w:ilvl w:val="0"/>
          <w:numId w:val="17"/>
        </w:numPr>
      </w:pPr>
      <w:r w:rsidRPr="00C853E9">
        <w:t xml:space="preserve">I have heard warts cause cancer, is this true?  </w:t>
      </w:r>
    </w:p>
    <w:p w14:paraId="6A1F86BB" w14:textId="7A2F06D0" w:rsidR="00D614F9" w:rsidRPr="00C853E9" w:rsidRDefault="00D614F9">
      <w:pPr>
        <w:pStyle w:val="ListParagraph"/>
        <w:numPr>
          <w:ilvl w:val="1"/>
          <w:numId w:val="17"/>
        </w:numPr>
      </w:pPr>
      <w:r w:rsidRPr="00C853E9">
        <w:t>Yes, some types of HPV do cause cervical</w:t>
      </w:r>
      <w:r w:rsidR="009634F7">
        <w:t xml:space="preserve"> </w:t>
      </w:r>
      <w:r w:rsidRPr="00C853E9">
        <w:t>cancers in women and penile cancer in men.</w:t>
      </w:r>
    </w:p>
    <w:p w14:paraId="21C7FD2F" w14:textId="4CEF0E7A" w:rsidR="00D614F9" w:rsidRPr="00C853E9" w:rsidRDefault="00D614F9" w:rsidP="009634F7">
      <w:r w:rsidRPr="00C853E9">
        <w:lastRenderedPageBreak/>
        <w:t>Remember: If you know you have an STD like Herpes or HPV (genital warts) or HIV, you must protect your future partners from infection.  You must tell them before having sex and use condoms if you do have sex.</w:t>
      </w:r>
    </w:p>
    <w:p w14:paraId="736CF5BC" w14:textId="77777777" w:rsidR="00D00398" w:rsidRDefault="00D00398" w:rsidP="00D00398">
      <w:pPr>
        <w:rPr>
          <w:b/>
          <w:bCs/>
        </w:rPr>
      </w:pPr>
    </w:p>
    <w:p w14:paraId="3D40610C" w14:textId="77777777" w:rsidR="004744C9" w:rsidRDefault="004744C9" w:rsidP="00087B1F">
      <w:pPr>
        <w:jc w:val="center"/>
        <w:rPr>
          <w:b/>
          <w:bCs/>
        </w:rPr>
      </w:pPr>
    </w:p>
    <w:p w14:paraId="18A45F2E" w14:textId="77777777" w:rsidR="004744C9" w:rsidRDefault="004744C9" w:rsidP="00087B1F">
      <w:pPr>
        <w:jc w:val="center"/>
        <w:rPr>
          <w:b/>
          <w:bCs/>
        </w:rPr>
      </w:pPr>
    </w:p>
    <w:p w14:paraId="6D7DF769" w14:textId="77777777" w:rsidR="004744C9" w:rsidRDefault="004744C9" w:rsidP="00087B1F">
      <w:pPr>
        <w:jc w:val="center"/>
        <w:rPr>
          <w:b/>
          <w:bCs/>
        </w:rPr>
      </w:pPr>
    </w:p>
    <w:p w14:paraId="7EE186A5" w14:textId="77777777" w:rsidR="004744C9" w:rsidRDefault="004744C9" w:rsidP="009634F7">
      <w:pPr>
        <w:rPr>
          <w:b/>
          <w:bCs/>
        </w:rPr>
      </w:pPr>
    </w:p>
    <w:sectPr w:rsidR="004744C9" w:rsidSect="006D34B9">
      <w:type w:val="continuous"/>
      <w:pgSz w:w="12240" w:h="15840"/>
      <w:pgMar w:top="1440" w:right="1440" w:bottom="1440" w:left="144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F953EC" w14:textId="77777777" w:rsidR="00E0156B" w:rsidRDefault="00E0156B">
      <w:pPr>
        <w:spacing w:line="240" w:lineRule="auto"/>
      </w:pPr>
      <w:r>
        <w:separator/>
      </w:r>
    </w:p>
  </w:endnote>
  <w:endnote w:type="continuationSeparator" w:id="0">
    <w:p w14:paraId="4D75E621" w14:textId="77777777" w:rsidR="00E0156B" w:rsidRDefault="00E0156B">
      <w:pPr>
        <w:spacing w:line="240" w:lineRule="auto"/>
      </w:pPr>
      <w:r>
        <w:continuationSeparator/>
      </w:r>
    </w:p>
  </w:endnote>
  <w:endnote w:type="continuationNotice" w:id="1">
    <w:p w14:paraId="0D9D4F3D" w14:textId="77777777" w:rsidR="00E0156B" w:rsidRDefault="00E0156B">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0995424"/>
      <w:docPartObj>
        <w:docPartGallery w:val="Page Numbers (Bottom of Page)"/>
        <w:docPartUnique/>
      </w:docPartObj>
    </w:sdtPr>
    <w:sdtEndPr>
      <w:rPr>
        <w:color w:val="7F7F7F" w:themeColor="background1" w:themeShade="7F"/>
        <w:spacing w:val="60"/>
      </w:rPr>
    </w:sdtEndPr>
    <w:sdtContent>
      <w:p w14:paraId="5D321BCB" w14:textId="3F87D670" w:rsidR="00FB6470" w:rsidRDefault="00FB6470">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4E2A90D3" w14:textId="77777777" w:rsidR="00FB6470" w:rsidRDefault="00FB64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CEDD78" w14:textId="77777777" w:rsidR="00E0156B" w:rsidRDefault="00E0156B">
      <w:pPr>
        <w:spacing w:line="240" w:lineRule="auto"/>
      </w:pPr>
      <w:r>
        <w:separator/>
      </w:r>
    </w:p>
  </w:footnote>
  <w:footnote w:type="continuationSeparator" w:id="0">
    <w:p w14:paraId="622CC6DB" w14:textId="77777777" w:rsidR="00E0156B" w:rsidRDefault="00E0156B">
      <w:pPr>
        <w:spacing w:line="240" w:lineRule="auto"/>
      </w:pPr>
      <w:r>
        <w:continuationSeparator/>
      </w:r>
    </w:p>
  </w:footnote>
  <w:footnote w:type="continuationNotice" w:id="1">
    <w:p w14:paraId="1FEEE9C8" w14:textId="77777777" w:rsidR="00E0156B" w:rsidRDefault="00E0156B">
      <w:pPr>
        <w:spacing w:before="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D5245F3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8864F08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4B9C1270"/>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C6A42210"/>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72242BE"/>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E32A87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1B85B8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D6270F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9"/>
    <w:multiLevelType w:val="singleLevel"/>
    <w:tmpl w:val="9FE46334"/>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0F71FDA"/>
    <w:multiLevelType w:val="hybridMultilevel"/>
    <w:tmpl w:val="56FC6976"/>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15:restartNumberingAfterBreak="0">
    <w:nsid w:val="041B34CC"/>
    <w:multiLevelType w:val="hybridMultilevel"/>
    <w:tmpl w:val="8E467F44"/>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 w15:restartNumberingAfterBreak="0">
    <w:nsid w:val="06726714"/>
    <w:multiLevelType w:val="hybridMultilevel"/>
    <w:tmpl w:val="6B4228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5B1603"/>
    <w:multiLevelType w:val="hybridMultilevel"/>
    <w:tmpl w:val="259C2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AD76083"/>
    <w:multiLevelType w:val="hybridMultilevel"/>
    <w:tmpl w:val="B4C69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577A79"/>
    <w:multiLevelType w:val="hybridMultilevel"/>
    <w:tmpl w:val="ABB60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815416"/>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6" w15:restartNumberingAfterBreak="0">
    <w:nsid w:val="3316101E"/>
    <w:multiLevelType w:val="hybridMultilevel"/>
    <w:tmpl w:val="E0248A16"/>
    <w:lvl w:ilvl="0" w:tplc="E936417A">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BED3D70"/>
    <w:multiLevelType w:val="hybridMultilevel"/>
    <w:tmpl w:val="82AEB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AD52D7"/>
    <w:multiLevelType w:val="hybridMultilevel"/>
    <w:tmpl w:val="B1F0D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A06221"/>
    <w:multiLevelType w:val="hybridMultilevel"/>
    <w:tmpl w:val="AD7864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1934948"/>
    <w:multiLevelType w:val="hybridMultilevel"/>
    <w:tmpl w:val="1D662B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44522A2"/>
    <w:multiLevelType w:val="hybridMultilevel"/>
    <w:tmpl w:val="A6F47B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0112DB"/>
    <w:multiLevelType w:val="hybridMultilevel"/>
    <w:tmpl w:val="1C647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1EF26F0"/>
    <w:multiLevelType w:val="hybridMultilevel"/>
    <w:tmpl w:val="21B8F50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4" w15:restartNumberingAfterBreak="0">
    <w:nsid w:val="73FD083C"/>
    <w:multiLevelType w:val="hybridMultilevel"/>
    <w:tmpl w:val="3BDCD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A4C77C6"/>
    <w:multiLevelType w:val="multilevel"/>
    <w:tmpl w:val="FA005712"/>
    <w:lvl w:ilvl="0">
      <w:start w:val="1"/>
      <w:numFmt w:val="decimal"/>
      <w:pStyle w:val="ListNumber"/>
      <w:lvlText w:val="%1."/>
      <w:lvlJc w:val="left"/>
      <w:pPr>
        <w:ind w:left="360" w:hanging="360"/>
      </w:pPr>
      <w:rPr>
        <w:rFonts w:hint="default"/>
        <w:b/>
        <w:color w:val="2B579A" w:themeColor="accent5"/>
        <w:sz w:val="28"/>
        <w:szCs w:val="28"/>
      </w:rPr>
    </w:lvl>
    <w:lvl w:ilvl="1">
      <w:start w:val="1"/>
      <w:numFmt w:val="lowerLetter"/>
      <w:lvlText w:val="%2."/>
      <w:lvlJc w:val="left"/>
      <w:pPr>
        <w:ind w:left="1080" w:hanging="360"/>
      </w:pPr>
      <w:rPr>
        <w:rFonts w:hint="default"/>
      </w:rPr>
    </w:lvl>
    <w:lvl w:ilvl="2">
      <w:start w:val="1"/>
      <w:numFmt w:val="lowerRoman"/>
      <w:lvlText w:val="%3."/>
      <w:lvlJc w:val="right"/>
      <w:pPr>
        <w:ind w:left="1800" w:hanging="36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36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360"/>
      </w:pPr>
      <w:rPr>
        <w:rFonts w:hint="default"/>
      </w:rPr>
    </w:lvl>
  </w:abstractNum>
  <w:abstractNum w:abstractNumId="26" w15:restartNumberingAfterBreak="0">
    <w:nsid w:val="7CC448F7"/>
    <w:multiLevelType w:val="hybridMultilevel"/>
    <w:tmpl w:val="D8944F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09076240">
    <w:abstractNumId w:val="25"/>
  </w:num>
  <w:num w:numId="2" w16cid:durableId="186874163">
    <w:abstractNumId w:val="8"/>
  </w:num>
  <w:num w:numId="3" w16cid:durableId="604970507">
    <w:abstractNumId w:val="7"/>
  </w:num>
  <w:num w:numId="4" w16cid:durableId="2116820852">
    <w:abstractNumId w:val="6"/>
  </w:num>
  <w:num w:numId="5" w16cid:durableId="620384707">
    <w:abstractNumId w:val="5"/>
  </w:num>
  <w:num w:numId="6" w16cid:durableId="1490975938">
    <w:abstractNumId w:val="4"/>
  </w:num>
  <w:num w:numId="7" w16cid:durableId="744454086">
    <w:abstractNumId w:val="3"/>
  </w:num>
  <w:num w:numId="8" w16cid:durableId="1352952711">
    <w:abstractNumId w:val="2"/>
  </w:num>
  <w:num w:numId="9" w16cid:durableId="1971016054">
    <w:abstractNumId w:val="1"/>
  </w:num>
  <w:num w:numId="10" w16cid:durableId="258491463">
    <w:abstractNumId w:val="0"/>
  </w:num>
  <w:num w:numId="11" w16cid:durableId="1662464648">
    <w:abstractNumId w:val="15"/>
  </w:num>
  <w:num w:numId="12" w16cid:durableId="1105225863">
    <w:abstractNumId w:val="21"/>
  </w:num>
  <w:num w:numId="13" w16cid:durableId="1914898372">
    <w:abstractNumId w:val="16"/>
  </w:num>
  <w:num w:numId="14" w16cid:durableId="1249998526">
    <w:abstractNumId w:val="12"/>
  </w:num>
  <w:num w:numId="15" w16cid:durableId="448202683">
    <w:abstractNumId w:val="19"/>
  </w:num>
  <w:num w:numId="16" w16cid:durableId="683169643">
    <w:abstractNumId w:val="23"/>
  </w:num>
  <w:num w:numId="17" w16cid:durableId="2040819088">
    <w:abstractNumId w:val="9"/>
  </w:num>
  <w:num w:numId="18" w16cid:durableId="1889493745">
    <w:abstractNumId w:val="10"/>
  </w:num>
  <w:num w:numId="19" w16cid:durableId="1678460480">
    <w:abstractNumId w:val="17"/>
  </w:num>
  <w:num w:numId="20" w16cid:durableId="1885290539">
    <w:abstractNumId w:val="24"/>
  </w:num>
  <w:num w:numId="21" w16cid:durableId="1332366336">
    <w:abstractNumId w:val="22"/>
  </w:num>
  <w:num w:numId="22" w16cid:durableId="814298488">
    <w:abstractNumId w:val="26"/>
  </w:num>
  <w:num w:numId="23" w16cid:durableId="1395741051">
    <w:abstractNumId w:val="14"/>
  </w:num>
  <w:num w:numId="24" w16cid:durableId="614487470">
    <w:abstractNumId w:val="18"/>
  </w:num>
  <w:num w:numId="25" w16cid:durableId="477262538">
    <w:abstractNumId w:val="11"/>
  </w:num>
  <w:num w:numId="26" w16cid:durableId="340744625">
    <w:abstractNumId w:val="13"/>
  </w:num>
  <w:num w:numId="27" w16cid:durableId="1805728510">
    <w:abstractNumId w:val="2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4096" w:nlCheck="1" w:checkStyle="0"/>
  <w:activeWritingStyle w:appName="MSWord" w:lang="en-US" w:vendorID="64" w:dllVersion="0" w:nlCheck="1" w:checkStyle="0"/>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531"/>
    <w:rsid w:val="00004805"/>
    <w:rsid w:val="0001013F"/>
    <w:rsid w:val="00011C4F"/>
    <w:rsid w:val="00013CBA"/>
    <w:rsid w:val="00016748"/>
    <w:rsid w:val="000177B6"/>
    <w:rsid w:val="00017E4B"/>
    <w:rsid w:val="00020710"/>
    <w:rsid w:val="0002448C"/>
    <w:rsid w:val="00025958"/>
    <w:rsid w:val="00030FC1"/>
    <w:rsid w:val="00031C27"/>
    <w:rsid w:val="000340A2"/>
    <w:rsid w:val="00034811"/>
    <w:rsid w:val="00036557"/>
    <w:rsid w:val="00041062"/>
    <w:rsid w:val="00044817"/>
    <w:rsid w:val="00044C32"/>
    <w:rsid w:val="00045567"/>
    <w:rsid w:val="00046FE7"/>
    <w:rsid w:val="0005082C"/>
    <w:rsid w:val="000566B3"/>
    <w:rsid w:val="00056BAD"/>
    <w:rsid w:val="000617E3"/>
    <w:rsid w:val="00062C33"/>
    <w:rsid w:val="0006567E"/>
    <w:rsid w:val="000658DA"/>
    <w:rsid w:val="00066175"/>
    <w:rsid w:val="0006617B"/>
    <w:rsid w:val="00066BDC"/>
    <w:rsid w:val="000673DC"/>
    <w:rsid w:val="00067BD9"/>
    <w:rsid w:val="00072576"/>
    <w:rsid w:val="00072E32"/>
    <w:rsid w:val="00073B8D"/>
    <w:rsid w:val="00075308"/>
    <w:rsid w:val="000760DB"/>
    <w:rsid w:val="00080AE2"/>
    <w:rsid w:val="00084BFE"/>
    <w:rsid w:val="00084F69"/>
    <w:rsid w:val="000872B3"/>
    <w:rsid w:val="00087B1F"/>
    <w:rsid w:val="000903DC"/>
    <w:rsid w:val="00097B8E"/>
    <w:rsid w:val="000A1291"/>
    <w:rsid w:val="000A1FB1"/>
    <w:rsid w:val="000A20F8"/>
    <w:rsid w:val="000A2C00"/>
    <w:rsid w:val="000A5520"/>
    <w:rsid w:val="000A6394"/>
    <w:rsid w:val="000B45BA"/>
    <w:rsid w:val="000B5732"/>
    <w:rsid w:val="000C172E"/>
    <w:rsid w:val="000C42C7"/>
    <w:rsid w:val="000C4BB2"/>
    <w:rsid w:val="000C5372"/>
    <w:rsid w:val="000C5E1E"/>
    <w:rsid w:val="000D31F2"/>
    <w:rsid w:val="000D3A65"/>
    <w:rsid w:val="000D3F77"/>
    <w:rsid w:val="000D53DA"/>
    <w:rsid w:val="000D6EB2"/>
    <w:rsid w:val="000D716A"/>
    <w:rsid w:val="000E0BBC"/>
    <w:rsid w:val="000E2592"/>
    <w:rsid w:val="000E32E2"/>
    <w:rsid w:val="000E66D4"/>
    <w:rsid w:val="000E679F"/>
    <w:rsid w:val="000F00E7"/>
    <w:rsid w:val="000F374D"/>
    <w:rsid w:val="000F5E8E"/>
    <w:rsid w:val="00101A0A"/>
    <w:rsid w:val="00102198"/>
    <w:rsid w:val="0010630D"/>
    <w:rsid w:val="0011003E"/>
    <w:rsid w:val="001150E2"/>
    <w:rsid w:val="00115F67"/>
    <w:rsid w:val="00116902"/>
    <w:rsid w:val="00117848"/>
    <w:rsid w:val="00122680"/>
    <w:rsid w:val="00123730"/>
    <w:rsid w:val="00125A7A"/>
    <w:rsid w:val="0012729B"/>
    <w:rsid w:val="0013018E"/>
    <w:rsid w:val="001318AD"/>
    <w:rsid w:val="00135DE7"/>
    <w:rsid w:val="0014066D"/>
    <w:rsid w:val="00143225"/>
    <w:rsid w:val="0014393D"/>
    <w:rsid w:val="00143EAE"/>
    <w:rsid w:val="00144505"/>
    <w:rsid w:val="001456E8"/>
    <w:rsid w:val="001479BD"/>
    <w:rsid w:val="00150BD0"/>
    <w:rsid w:val="00151207"/>
    <w:rsid w:val="00152FDB"/>
    <w:rsid w:val="00154B99"/>
    <w:rsid w:val="00156504"/>
    <w:rsid w:val="00163AE9"/>
    <w:rsid w:val="00166B1B"/>
    <w:rsid w:val="00167250"/>
    <w:rsid w:val="0016766E"/>
    <w:rsid w:val="00170063"/>
    <w:rsid w:val="00170DB3"/>
    <w:rsid w:val="00171FBD"/>
    <w:rsid w:val="00172363"/>
    <w:rsid w:val="00172D27"/>
    <w:rsid w:val="00175325"/>
    <w:rsid w:val="00175643"/>
    <w:rsid w:val="00175FC1"/>
    <w:rsid w:val="00176025"/>
    <w:rsid w:val="00176ACE"/>
    <w:rsid w:val="00176B31"/>
    <w:rsid w:val="00176D42"/>
    <w:rsid w:val="0017753E"/>
    <w:rsid w:val="00180615"/>
    <w:rsid w:val="00181CAF"/>
    <w:rsid w:val="0018241D"/>
    <w:rsid w:val="001835A5"/>
    <w:rsid w:val="00183BB5"/>
    <w:rsid w:val="00183D61"/>
    <w:rsid w:val="00184CCB"/>
    <w:rsid w:val="00184CEE"/>
    <w:rsid w:val="001857DE"/>
    <w:rsid w:val="00186BCB"/>
    <w:rsid w:val="00187B3E"/>
    <w:rsid w:val="001928CA"/>
    <w:rsid w:val="001969B6"/>
    <w:rsid w:val="00196B02"/>
    <w:rsid w:val="00197F0B"/>
    <w:rsid w:val="001A287F"/>
    <w:rsid w:val="001A33F8"/>
    <w:rsid w:val="001A5321"/>
    <w:rsid w:val="001A61D0"/>
    <w:rsid w:val="001B0408"/>
    <w:rsid w:val="001B1BA5"/>
    <w:rsid w:val="001B2338"/>
    <w:rsid w:val="001B39C2"/>
    <w:rsid w:val="001B798C"/>
    <w:rsid w:val="001C03F0"/>
    <w:rsid w:val="001C092F"/>
    <w:rsid w:val="001C1132"/>
    <w:rsid w:val="001C1832"/>
    <w:rsid w:val="001C1A95"/>
    <w:rsid w:val="001C24A5"/>
    <w:rsid w:val="001C4D1D"/>
    <w:rsid w:val="001C59BB"/>
    <w:rsid w:val="001C6CE9"/>
    <w:rsid w:val="001D0CA6"/>
    <w:rsid w:val="001D276E"/>
    <w:rsid w:val="001D481B"/>
    <w:rsid w:val="001D6A71"/>
    <w:rsid w:val="001D7F2B"/>
    <w:rsid w:val="001E0B74"/>
    <w:rsid w:val="001E0CC7"/>
    <w:rsid w:val="001E1FE6"/>
    <w:rsid w:val="001E4697"/>
    <w:rsid w:val="001E536A"/>
    <w:rsid w:val="001E59E3"/>
    <w:rsid w:val="001F0B5A"/>
    <w:rsid w:val="001F1AB3"/>
    <w:rsid w:val="001F1D1C"/>
    <w:rsid w:val="001F37A9"/>
    <w:rsid w:val="001F6F95"/>
    <w:rsid w:val="001F7E8C"/>
    <w:rsid w:val="00201819"/>
    <w:rsid w:val="00203F1C"/>
    <w:rsid w:val="002047F4"/>
    <w:rsid w:val="00204BC6"/>
    <w:rsid w:val="002060DC"/>
    <w:rsid w:val="002061A9"/>
    <w:rsid w:val="00210C5F"/>
    <w:rsid w:val="0021122F"/>
    <w:rsid w:val="002116D2"/>
    <w:rsid w:val="002151C3"/>
    <w:rsid w:val="00215368"/>
    <w:rsid w:val="00215D0E"/>
    <w:rsid w:val="00215EB3"/>
    <w:rsid w:val="00217B64"/>
    <w:rsid w:val="002207A2"/>
    <w:rsid w:val="00220CFE"/>
    <w:rsid w:val="002216C3"/>
    <w:rsid w:val="00221F12"/>
    <w:rsid w:val="00221FEF"/>
    <w:rsid w:val="00223A5B"/>
    <w:rsid w:val="002300D9"/>
    <w:rsid w:val="00230983"/>
    <w:rsid w:val="00232342"/>
    <w:rsid w:val="00232E37"/>
    <w:rsid w:val="002334C8"/>
    <w:rsid w:val="00233665"/>
    <w:rsid w:val="00235579"/>
    <w:rsid w:val="00236C28"/>
    <w:rsid w:val="0023713A"/>
    <w:rsid w:val="00241E44"/>
    <w:rsid w:val="002457AB"/>
    <w:rsid w:val="0024606A"/>
    <w:rsid w:val="002528AB"/>
    <w:rsid w:val="0025442A"/>
    <w:rsid w:val="00257FAA"/>
    <w:rsid w:val="002611D9"/>
    <w:rsid w:val="00262805"/>
    <w:rsid w:val="00262A74"/>
    <w:rsid w:val="002630C8"/>
    <w:rsid w:val="00263938"/>
    <w:rsid w:val="002639F8"/>
    <w:rsid w:val="00266BEC"/>
    <w:rsid w:val="002676FA"/>
    <w:rsid w:val="00271D23"/>
    <w:rsid w:val="00272048"/>
    <w:rsid w:val="0027359F"/>
    <w:rsid w:val="002747E8"/>
    <w:rsid w:val="002751FA"/>
    <w:rsid w:val="002769A5"/>
    <w:rsid w:val="00276FE4"/>
    <w:rsid w:val="0028371D"/>
    <w:rsid w:val="0028475F"/>
    <w:rsid w:val="0028536F"/>
    <w:rsid w:val="00285634"/>
    <w:rsid w:val="002950AC"/>
    <w:rsid w:val="002951A5"/>
    <w:rsid w:val="00295FC6"/>
    <w:rsid w:val="002A027B"/>
    <w:rsid w:val="002A1294"/>
    <w:rsid w:val="002A1F36"/>
    <w:rsid w:val="002A7B22"/>
    <w:rsid w:val="002B3C90"/>
    <w:rsid w:val="002C0BE5"/>
    <w:rsid w:val="002C15B2"/>
    <w:rsid w:val="002C2662"/>
    <w:rsid w:val="002C37B7"/>
    <w:rsid w:val="002C443F"/>
    <w:rsid w:val="002C6C10"/>
    <w:rsid w:val="002C6EF8"/>
    <w:rsid w:val="002C7523"/>
    <w:rsid w:val="002D01D6"/>
    <w:rsid w:val="002D0DA6"/>
    <w:rsid w:val="002D1B0B"/>
    <w:rsid w:val="002D4597"/>
    <w:rsid w:val="002D48FA"/>
    <w:rsid w:val="002D7622"/>
    <w:rsid w:val="002E12B1"/>
    <w:rsid w:val="002E2CDE"/>
    <w:rsid w:val="002E3A73"/>
    <w:rsid w:val="002E3B22"/>
    <w:rsid w:val="002E67DC"/>
    <w:rsid w:val="002E78EB"/>
    <w:rsid w:val="002F25A8"/>
    <w:rsid w:val="002F5A61"/>
    <w:rsid w:val="002F647C"/>
    <w:rsid w:val="00301053"/>
    <w:rsid w:val="00303585"/>
    <w:rsid w:val="0030572B"/>
    <w:rsid w:val="003065DE"/>
    <w:rsid w:val="003077A3"/>
    <w:rsid w:val="003106EA"/>
    <w:rsid w:val="00316E7A"/>
    <w:rsid w:val="003179BE"/>
    <w:rsid w:val="003204F3"/>
    <w:rsid w:val="00321F61"/>
    <w:rsid w:val="0032326E"/>
    <w:rsid w:val="003246E9"/>
    <w:rsid w:val="00330C7D"/>
    <w:rsid w:val="00331F1B"/>
    <w:rsid w:val="003328E3"/>
    <w:rsid w:val="00333B95"/>
    <w:rsid w:val="00336281"/>
    <w:rsid w:val="0033683B"/>
    <w:rsid w:val="003377D7"/>
    <w:rsid w:val="003407A9"/>
    <w:rsid w:val="00340979"/>
    <w:rsid w:val="00340DC9"/>
    <w:rsid w:val="00343530"/>
    <w:rsid w:val="00346C62"/>
    <w:rsid w:val="00350237"/>
    <w:rsid w:val="00350BD5"/>
    <w:rsid w:val="00352938"/>
    <w:rsid w:val="00353D94"/>
    <w:rsid w:val="00354441"/>
    <w:rsid w:val="00354638"/>
    <w:rsid w:val="003565B1"/>
    <w:rsid w:val="003603CF"/>
    <w:rsid w:val="00360961"/>
    <w:rsid w:val="0036240A"/>
    <w:rsid w:val="003624BD"/>
    <w:rsid w:val="00364115"/>
    <w:rsid w:val="003643A1"/>
    <w:rsid w:val="003740B0"/>
    <w:rsid w:val="00374C3D"/>
    <w:rsid w:val="00375AD2"/>
    <w:rsid w:val="00380615"/>
    <w:rsid w:val="003810EB"/>
    <w:rsid w:val="00382926"/>
    <w:rsid w:val="00383D8F"/>
    <w:rsid w:val="0038572A"/>
    <w:rsid w:val="00387956"/>
    <w:rsid w:val="003926AA"/>
    <w:rsid w:val="00393750"/>
    <w:rsid w:val="00396D4A"/>
    <w:rsid w:val="003A1099"/>
    <w:rsid w:val="003A26CB"/>
    <w:rsid w:val="003A4FE4"/>
    <w:rsid w:val="003A57D9"/>
    <w:rsid w:val="003A7DC4"/>
    <w:rsid w:val="003B06DF"/>
    <w:rsid w:val="003B1C2E"/>
    <w:rsid w:val="003B1F4C"/>
    <w:rsid w:val="003B2622"/>
    <w:rsid w:val="003B2EE3"/>
    <w:rsid w:val="003B3DEC"/>
    <w:rsid w:val="003B4C1D"/>
    <w:rsid w:val="003B7A8A"/>
    <w:rsid w:val="003C142C"/>
    <w:rsid w:val="003D05C3"/>
    <w:rsid w:val="003D493F"/>
    <w:rsid w:val="003E2F13"/>
    <w:rsid w:val="003E302C"/>
    <w:rsid w:val="003E3971"/>
    <w:rsid w:val="003E3FE4"/>
    <w:rsid w:val="003E6BD7"/>
    <w:rsid w:val="003E6E83"/>
    <w:rsid w:val="003F07F0"/>
    <w:rsid w:val="00400A82"/>
    <w:rsid w:val="00402843"/>
    <w:rsid w:val="0040359D"/>
    <w:rsid w:val="004055E2"/>
    <w:rsid w:val="00406713"/>
    <w:rsid w:val="00407285"/>
    <w:rsid w:val="00407446"/>
    <w:rsid w:val="00410D63"/>
    <w:rsid w:val="0041460D"/>
    <w:rsid w:val="00414644"/>
    <w:rsid w:val="00415B87"/>
    <w:rsid w:val="00416402"/>
    <w:rsid w:val="00417E48"/>
    <w:rsid w:val="00420BCB"/>
    <w:rsid w:val="00420ED5"/>
    <w:rsid w:val="00426999"/>
    <w:rsid w:val="00427915"/>
    <w:rsid w:val="00427CD7"/>
    <w:rsid w:val="00430848"/>
    <w:rsid w:val="0043102F"/>
    <w:rsid w:val="00432E03"/>
    <w:rsid w:val="00433443"/>
    <w:rsid w:val="00434773"/>
    <w:rsid w:val="00434A29"/>
    <w:rsid w:val="00440303"/>
    <w:rsid w:val="00441882"/>
    <w:rsid w:val="004429B0"/>
    <w:rsid w:val="00444F02"/>
    <w:rsid w:val="00452042"/>
    <w:rsid w:val="004520D7"/>
    <w:rsid w:val="00452ADF"/>
    <w:rsid w:val="00452B5E"/>
    <w:rsid w:val="00452C94"/>
    <w:rsid w:val="00465A6E"/>
    <w:rsid w:val="00466869"/>
    <w:rsid w:val="00472362"/>
    <w:rsid w:val="004737A3"/>
    <w:rsid w:val="00473C78"/>
    <w:rsid w:val="004744C9"/>
    <w:rsid w:val="00476436"/>
    <w:rsid w:val="00476DDA"/>
    <w:rsid w:val="004803A4"/>
    <w:rsid w:val="0048420C"/>
    <w:rsid w:val="004848B5"/>
    <w:rsid w:val="00484B4D"/>
    <w:rsid w:val="00485FF0"/>
    <w:rsid w:val="00487E90"/>
    <w:rsid w:val="004905E7"/>
    <w:rsid w:val="00490C35"/>
    <w:rsid w:val="00490CC6"/>
    <w:rsid w:val="00494129"/>
    <w:rsid w:val="00495D4D"/>
    <w:rsid w:val="004A0025"/>
    <w:rsid w:val="004A16C7"/>
    <w:rsid w:val="004A2217"/>
    <w:rsid w:val="004A2AEA"/>
    <w:rsid w:val="004A31AB"/>
    <w:rsid w:val="004A3C97"/>
    <w:rsid w:val="004A5C40"/>
    <w:rsid w:val="004A7F9F"/>
    <w:rsid w:val="004B1648"/>
    <w:rsid w:val="004B3D1C"/>
    <w:rsid w:val="004B3E50"/>
    <w:rsid w:val="004B48C6"/>
    <w:rsid w:val="004B5FEB"/>
    <w:rsid w:val="004B69D1"/>
    <w:rsid w:val="004B72D3"/>
    <w:rsid w:val="004C0665"/>
    <w:rsid w:val="004C09F5"/>
    <w:rsid w:val="004C118F"/>
    <w:rsid w:val="004C530F"/>
    <w:rsid w:val="004C7075"/>
    <w:rsid w:val="004C7425"/>
    <w:rsid w:val="004C77B5"/>
    <w:rsid w:val="004C7F57"/>
    <w:rsid w:val="004D1C93"/>
    <w:rsid w:val="004D22A1"/>
    <w:rsid w:val="004D3990"/>
    <w:rsid w:val="004D65B2"/>
    <w:rsid w:val="004D670F"/>
    <w:rsid w:val="004D69D5"/>
    <w:rsid w:val="004D7CB6"/>
    <w:rsid w:val="004E0018"/>
    <w:rsid w:val="004E6C63"/>
    <w:rsid w:val="004E74A9"/>
    <w:rsid w:val="004E779A"/>
    <w:rsid w:val="004F05F9"/>
    <w:rsid w:val="004F07D5"/>
    <w:rsid w:val="004F40AC"/>
    <w:rsid w:val="004F4AF0"/>
    <w:rsid w:val="004F7444"/>
    <w:rsid w:val="00500B7C"/>
    <w:rsid w:val="00502818"/>
    <w:rsid w:val="005030E8"/>
    <w:rsid w:val="0050513B"/>
    <w:rsid w:val="005116FF"/>
    <w:rsid w:val="0051245D"/>
    <w:rsid w:val="00513951"/>
    <w:rsid w:val="00513F46"/>
    <w:rsid w:val="00515902"/>
    <w:rsid w:val="00517E70"/>
    <w:rsid w:val="00521B93"/>
    <w:rsid w:val="00522109"/>
    <w:rsid w:val="005230C1"/>
    <w:rsid w:val="00523248"/>
    <w:rsid w:val="005250BD"/>
    <w:rsid w:val="00526721"/>
    <w:rsid w:val="00531121"/>
    <w:rsid w:val="00531563"/>
    <w:rsid w:val="005318C0"/>
    <w:rsid w:val="005318CF"/>
    <w:rsid w:val="00533CDA"/>
    <w:rsid w:val="00535AA6"/>
    <w:rsid w:val="005370ED"/>
    <w:rsid w:val="0054740A"/>
    <w:rsid w:val="00550572"/>
    <w:rsid w:val="005509B2"/>
    <w:rsid w:val="00551BF8"/>
    <w:rsid w:val="00555422"/>
    <w:rsid w:val="005556DB"/>
    <w:rsid w:val="00560318"/>
    <w:rsid w:val="00560F12"/>
    <w:rsid w:val="00563828"/>
    <w:rsid w:val="00563BA5"/>
    <w:rsid w:val="00565BDF"/>
    <w:rsid w:val="00566703"/>
    <w:rsid w:val="00567505"/>
    <w:rsid w:val="0057197F"/>
    <w:rsid w:val="00572EC0"/>
    <w:rsid w:val="005731AC"/>
    <w:rsid w:val="0057588A"/>
    <w:rsid w:val="005809E9"/>
    <w:rsid w:val="00582A00"/>
    <w:rsid w:val="005862B2"/>
    <w:rsid w:val="0059137A"/>
    <w:rsid w:val="00591614"/>
    <w:rsid w:val="005931DD"/>
    <w:rsid w:val="00594E03"/>
    <w:rsid w:val="00595E0F"/>
    <w:rsid w:val="005968CC"/>
    <w:rsid w:val="005A0DE1"/>
    <w:rsid w:val="005A1589"/>
    <w:rsid w:val="005A6C70"/>
    <w:rsid w:val="005A6DA8"/>
    <w:rsid w:val="005A6E8B"/>
    <w:rsid w:val="005A7A5E"/>
    <w:rsid w:val="005B1480"/>
    <w:rsid w:val="005C30B0"/>
    <w:rsid w:val="005C4F51"/>
    <w:rsid w:val="005C6D45"/>
    <w:rsid w:val="005C7EFF"/>
    <w:rsid w:val="005D0BF9"/>
    <w:rsid w:val="005D1D48"/>
    <w:rsid w:val="005D255A"/>
    <w:rsid w:val="005D4E64"/>
    <w:rsid w:val="005D501C"/>
    <w:rsid w:val="005D58F7"/>
    <w:rsid w:val="005D634E"/>
    <w:rsid w:val="005D6CBC"/>
    <w:rsid w:val="005D782E"/>
    <w:rsid w:val="005E0580"/>
    <w:rsid w:val="005E1672"/>
    <w:rsid w:val="005E20BF"/>
    <w:rsid w:val="005E3837"/>
    <w:rsid w:val="005E5A56"/>
    <w:rsid w:val="005E6034"/>
    <w:rsid w:val="005E6A75"/>
    <w:rsid w:val="005F36EF"/>
    <w:rsid w:val="005F46A2"/>
    <w:rsid w:val="006018E0"/>
    <w:rsid w:val="00601B72"/>
    <w:rsid w:val="00601F29"/>
    <w:rsid w:val="006021EC"/>
    <w:rsid w:val="00602310"/>
    <w:rsid w:val="00605809"/>
    <w:rsid w:val="00605D81"/>
    <w:rsid w:val="00606050"/>
    <w:rsid w:val="006066DF"/>
    <w:rsid w:val="006101FA"/>
    <w:rsid w:val="00611F43"/>
    <w:rsid w:val="006139D1"/>
    <w:rsid w:val="00617D63"/>
    <w:rsid w:val="0062575B"/>
    <w:rsid w:val="00630E0B"/>
    <w:rsid w:val="00632BEF"/>
    <w:rsid w:val="00640D58"/>
    <w:rsid w:val="00643D1A"/>
    <w:rsid w:val="006473EC"/>
    <w:rsid w:val="00651EAE"/>
    <w:rsid w:val="00661002"/>
    <w:rsid w:val="006634E4"/>
    <w:rsid w:val="0066499B"/>
    <w:rsid w:val="0066573D"/>
    <w:rsid w:val="00666740"/>
    <w:rsid w:val="0067177D"/>
    <w:rsid w:val="00672528"/>
    <w:rsid w:val="00673C01"/>
    <w:rsid w:val="00673C53"/>
    <w:rsid w:val="00674588"/>
    <w:rsid w:val="00674C73"/>
    <w:rsid w:val="00676286"/>
    <w:rsid w:val="00677E77"/>
    <w:rsid w:val="006804D0"/>
    <w:rsid w:val="00682072"/>
    <w:rsid w:val="00682AFC"/>
    <w:rsid w:val="00684027"/>
    <w:rsid w:val="006850F8"/>
    <w:rsid w:val="00686A95"/>
    <w:rsid w:val="0069080B"/>
    <w:rsid w:val="00693A09"/>
    <w:rsid w:val="00694A84"/>
    <w:rsid w:val="006A043D"/>
    <w:rsid w:val="006A3863"/>
    <w:rsid w:val="006A7B57"/>
    <w:rsid w:val="006B0AB2"/>
    <w:rsid w:val="006B3BC9"/>
    <w:rsid w:val="006B4206"/>
    <w:rsid w:val="006B4464"/>
    <w:rsid w:val="006B50C8"/>
    <w:rsid w:val="006C0B41"/>
    <w:rsid w:val="006C1972"/>
    <w:rsid w:val="006C3DCC"/>
    <w:rsid w:val="006C5A79"/>
    <w:rsid w:val="006C7C3C"/>
    <w:rsid w:val="006D2E0C"/>
    <w:rsid w:val="006D34B9"/>
    <w:rsid w:val="006D44C5"/>
    <w:rsid w:val="006E1DF4"/>
    <w:rsid w:val="006E289F"/>
    <w:rsid w:val="006E29F4"/>
    <w:rsid w:val="006F2A99"/>
    <w:rsid w:val="006F505B"/>
    <w:rsid w:val="006F69FA"/>
    <w:rsid w:val="00702672"/>
    <w:rsid w:val="007038F1"/>
    <w:rsid w:val="00704EB7"/>
    <w:rsid w:val="007072D2"/>
    <w:rsid w:val="00707E54"/>
    <w:rsid w:val="00711A9C"/>
    <w:rsid w:val="00713286"/>
    <w:rsid w:val="00713672"/>
    <w:rsid w:val="007143C5"/>
    <w:rsid w:val="00714AA3"/>
    <w:rsid w:val="00716217"/>
    <w:rsid w:val="007244DE"/>
    <w:rsid w:val="0072563B"/>
    <w:rsid w:val="00727B5B"/>
    <w:rsid w:val="007304D8"/>
    <w:rsid w:val="00734876"/>
    <w:rsid w:val="00735082"/>
    <w:rsid w:val="0073562D"/>
    <w:rsid w:val="00736299"/>
    <w:rsid w:val="00736776"/>
    <w:rsid w:val="007411DE"/>
    <w:rsid w:val="0074260E"/>
    <w:rsid w:val="00743783"/>
    <w:rsid w:val="00750A20"/>
    <w:rsid w:val="007510D8"/>
    <w:rsid w:val="00752256"/>
    <w:rsid w:val="00752987"/>
    <w:rsid w:val="007539F1"/>
    <w:rsid w:val="007619BC"/>
    <w:rsid w:val="00762B5E"/>
    <w:rsid w:val="00763501"/>
    <w:rsid w:val="007652AE"/>
    <w:rsid w:val="00770F40"/>
    <w:rsid w:val="0077153E"/>
    <w:rsid w:val="0077161A"/>
    <w:rsid w:val="00771EB5"/>
    <w:rsid w:val="00777420"/>
    <w:rsid w:val="00780901"/>
    <w:rsid w:val="00780E04"/>
    <w:rsid w:val="00782415"/>
    <w:rsid w:val="00784B4E"/>
    <w:rsid w:val="00791628"/>
    <w:rsid w:val="00791E53"/>
    <w:rsid w:val="00792332"/>
    <w:rsid w:val="0079397D"/>
    <w:rsid w:val="00795593"/>
    <w:rsid w:val="007957EC"/>
    <w:rsid w:val="00796543"/>
    <w:rsid w:val="007A03A0"/>
    <w:rsid w:val="007A0942"/>
    <w:rsid w:val="007A098E"/>
    <w:rsid w:val="007A0A99"/>
    <w:rsid w:val="007A22BB"/>
    <w:rsid w:val="007A4C01"/>
    <w:rsid w:val="007A6CA8"/>
    <w:rsid w:val="007B07DE"/>
    <w:rsid w:val="007B1E58"/>
    <w:rsid w:val="007B3E97"/>
    <w:rsid w:val="007B75E2"/>
    <w:rsid w:val="007C0829"/>
    <w:rsid w:val="007C153E"/>
    <w:rsid w:val="007C1D42"/>
    <w:rsid w:val="007C29AF"/>
    <w:rsid w:val="007C60E7"/>
    <w:rsid w:val="007D0CFD"/>
    <w:rsid w:val="007D1897"/>
    <w:rsid w:val="007D6119"/>
    <w:rsid w:val="007D66FB"/>
    <w:rsid w:val="007D6A70"/>
    <w:rsid w:val="007E120F"/>
    <w:rsid w:val="007E13D3"/>
    <w:rsid w:val="007E1FBA"/>
    <w:rsid w:val="007E7183"/>
    <w:rsid w:val="007F6329"/>
    <w:rsid w:val="007F698C"/>
    <w:rsid w:val="00800AE1"/>
    <w:rsid w:val="00800EB4"/>
    <w:rsid w:val="008012B7"/>
    <w:rsid w:val="00803BBD"/>
    <w:rsid w:val="00804690"/>
    <w:rsid w:val="00805E40"/>
    <w:rsid w:val="00806C30"/>
    <w:rsid w:val="008072FE"/>
    <w:rsid w:val="00813F11"/>
    <w:rsid w:val="008176D6"/>
    <w:rsid w:val="008176DB"/>
    <w:rsid w:val="00817FB5"/>
    <w:rsid w:val="00820391"/>
    <w:rsid w:val="00823DD3"/>
    <w:rsid w:val="00824EB7"/>
    <w:rsid w:val="0082663E"/>
    <w:rsid w:val="008270A2"/>
    <w:rsid w:val="00830A57"/>
    <w:rsid w:val="00831D4B"/>
    <w:rsid w:val="00832108"/>
    <w:rsid w:val="00832D8B"/>
    <w:rsid w:val="00832F3A"/>
    <w:rsid w:val="008357AD"/>
    <w:rsid w:val="00837DE4"/>
    <w:rsid w:val="0084323D"/>
    <w:rsid w:val="00843A0F"/>
    <w:rsid w:val="00844BFE"/>
    <w:rsid w:val="008465AD"/>
    <w:rsid w:val="00846A61"/>
    <w:rsid w:val="00847782"/>
    <w:rsid w:val="00850A75"/>
    <w:rsid w:val="00852B4C"/>
    <w:rsid w:val="00853F77"/>
    <w:rsid w:val="0085468D"/>
    <w:rsid w:val="008600A6"/>
    <w:rsid w:val="008604DB"/>
    <w:rsid w:val="008703CB"/>
    <w:rsid w:val="00870E9E"/>
    <w:rsid w:val="00875B23"/>
    <w:rsid w:val="0087621E"/>
    <w:rsid w:val="00876D07"/>
    <w:rsid w:val="0087746D"/>
    <w:rsid w:val="008810C3"/>
    <w:rsid w:val="0088126C"/>
    <w:rsid w:val="00885CE1"/>
    <w:rsid w:val="008907FF"/>
    <w:rsid w:val="00890DE8"/>
    <w:rsid w:val="008923A7"/>
    <w:rsid w:val="00892A57"/>
    <w:rsid w:val="008940B1"/>
    <w:rsid w:val="00894FC0"/>
    <w:rsid w:val="008969CA"/>
    <w:rsid w:val="008A0843"/>
    <w:rsid w:val="008A2F09"/>
    <w:rsid w:val="008A3248"/>
    <w:rsid w:val="008A563C"/>
    <w:rsid w:val="008A79E4"/>
    <w:rsid w:val="008B1AA4"/>
    <w:rsid w:val="008B68E2"/>
    <w:rsid w:val="008B696C"/>
    <w:rsid w:val="008B6BEE"/>
    <w:rsid w:val="008C2679"/>
    <w:rsid w:val="008C3CEE"/>
    <w:rsid w:val="008D078F"/>
    <w:rsid w:val="008D0F78"/>
    <w:rsid w:val="008D1315"/>
    <w:rsid w:val="008D2F4D"/>
    <w:rsid w:val="008D350D"/>
    <w:rsid w:val="008D5C31"/>
    <w:rsid w:val="008E2AF2"/>
    <w:rsid w:val="008E669B"/>
    <w:rsid w:val="008F221F"/>
    <w:rsid w:val="008F38BA"/>
    <w:rsid w:val="008F74AE"/>
    <w:rsid w:val="008F78D7"/>
    <w:rsid w:val="008F7C24"/>
    <w:rsid w:val="008F7C2C"/>
    <w:rsid w:val="009016DB"/>
    <w:rsid w:val="0090237B"/>
    <w:rsid w:val="009034DD"/>
    <w:rsid w:val="0090401F"/>
    <w:rsid w:val="00904796"/>
    <w:rsid w:val="00904C3E"/>
    <w:rsid w:val="0090598D"/>
    <w:rsid w:val="00906C70"/>
    <w:rsid w:val="009108CA"/>
    <w:rsid w:val="00910B47"/>
    <w:rsid w:val="00911FE8"/>
    <w:rsid w:val="00912C9D"/>
    <w:rsid w:val="009200C1"/>
    <w:rsid w:val="009235D0"/>
    <w:rsid w:val="009251C7"/>
    <w:rsid w:val="00926CFC"/>
    <w:rsid w:val="0093028A"/>
    <w:rsid w:val="0093188E"/>
    <w:rsid w:val="00933084"/>
    <w:rsid w:val="009355E4"/>
    <w:rsid w:val="00936234"/>
    <w:rsid w:val="00942B2C"/>
    <w:rsid w:val="009463B0"/>
    <w:rsid w:val="00946B64"/>
    <w:rsid w:val="00947ED8"/>
    <w:rsid w:val="00950638"/>
    <w:rsid w:val="00951105"/>
    <w:rsid w:val="00952BBA"/>
    <w:rsid w:val="009564BE"/>
    <w:rsid w:val="00960A6B"/>
    <w:rsid w:val="009619D4"/>
    <w:rsid w:val="009634F7"/>
    <w:rsid w:val="00964BF2"/>
    <w:rsid w:val="009665AD"/>
    <w:rsid w:val="009721C4"/>
    <w:rsid w:val="0097420E"/>
    <w:rsid w:val="00974399"/>
    <w:rsid w:val="009749B8"/>
    <w:rsid w:val="00975F24"/>
    <w:rsid w:val="00980085"/>
    <w:rsid w:val="009840B5"/>
    <w:rsid w:val="00984242"/>
    <w:rsid w:val="009861ED"/>
    <w:rsid w:val="0098682F"/>
    <w:rsid w:val="00992EF0"/>
    <w:rsid w:val="00995E84"/>
    <w:rsid w:val="00997127"/>
    <w:rsid w:val="009A0698"/>
    <w:rsid w:val="009A57BC"/>
    <w:rsid w:val="009A79BF"/>
    <w:rsid w:val="009B0B23"/>
    <w:rsid w:val="009B0C5D"/>
    <w:rsid w:val="009B4131"/>
    <w:rsid w:val="009B5DF9"/>
    <w:rsid w:val="009B6E3E"/>
    <w:rsid w:val="009C0192"/>
    <w:rsid w:val="009C3385"/>
    <w:rsid w:val="009C34CD"/>
    <w:rsid w:val="009C38D3"/>
    <w:rsid w:val="009C3B20"/>
    <w:rsid w:val="009C413C"/>
    <w:rsid w:val="009C59B1"/>
    <w:rsid w:val="009C6684"/>
    <w:rsid w:val="009C7F4F"/>
    <w:rsid w:val="009D216F"/>
    <w:rsid w:val="009D229B"/>
    <w:rsid w:val="009D270F"/>
    <w:rsid w:val="009D3248"/>
    <w:rsid w:val="009D351C"/>
    <w:rsid w:val="009D6AE6"/>
    <w:rsid w:val="009D74A5"/>
    <w:rsid w:val="009E190F"/>
    <w:rsid w:val="009E29DA"/>
    <w:rsid w:val="009E3839"/>
    <w:rsid w:val="009E407E"/>
    <w:rsid w:val="009E481C"/>
    <w:rsid w:val="009F09EC"/>
    <w:rsid w:val="009F17BD"/>
    <w:rsid w:val="009F7697"/>
    <w:rsid w:val="00A008C0"/>
    <w:rsid w:val="00A0158C"/>
    <w:rsid w:val="00A026A7"/>
    <w:rsid w:val="00A026E5"/>
    <w:rsid w:val="00A02FCC"/>
    <w:rsid w:val="00A05A0E"/>
    <w:rsid w:val="00A061ED"/>
    <w:rsid w:val="00A074A3"/>
    <w:rsid w:val="00A11DDF"/>
    <w:rsid w:val="00A12D0E"/>
    <w:rsid w:val="00A137E1"/>
    <w:rsid w:val="00A14C63"/>
    <w:rsid w:val="00A15381"/>
    <w:rsid w:val="00A1596F"/>
    <w:rsid w:val="00A17CA2"/>
    <w:rsid w:val="00A21F08"/>
    <w:rsid w:val="00A246F3"/>
    <w:rsid w:val="00A2575A"/>
    <w:rsid w:val="00A31390"/>
    <w:rsid w:val="00A317A0"/>
    <w:rsid w:val="00A33537"/>
    <w:rsid w:val="00A363E0"/>
    <w:rsid w:val="00A3702A"/>
    <w:rsid w:val="00A401C0"/>
    <w:rsid w:val="00A40681"/>
    <w:rsid w:val="00A418CA"/>
    <w:rsid w:val="00A50E22"/>
    <w:rsid w:val="00A52552"/>
    <w:rsid w:val="00A52CAC"/>
    <w:rsid w:val="00A55E68"/>
    <w:rsid w:val="00A64FBB"/>
    <w:rsid w:val="00A65E8A"/>
    <w:rsid w:val="00A66866"/>
    <w:rsid w:val="00A66FF7"/>
    <w:rsid w:val="00A74931"/>
    <w:rsid w:val="00A8193E"/>
    <w:rsid w:val="00A82DE4"/>
    <w:rsid w:val="00A8402F"/>
    <w:rsid w:val="00A854A3"/>
    <w:rsid w:val="00A85B5A"/>
    <w:rsid w:val="00A876E0"/>
    <w:rsid w:val="00A87896"/>
    <w:rsid w:val="00A87985"/>
    <w:rsid w:val="00A87D4D"/>
    <w:rsid w:val="00A91057"/>
    <w:rsid w:val="00A92035"/>
    <w:rsid w:val="00A92880"/>
    <w:rsid w:val="00A96B23"/>
    <w:rsid w:val="00A96F5D"/>
    <w:rsid w:val="00A97E9B"/>
    <w:rsid w:val="00AA06CA"/>
    <w:rsid w:val="00AA08CB"/>
    <w:rsid w:val="00AA11DA"/>
    <w:rsid w:val="00AA4E3D"/>
    <w:rsid w:val="00AA6AEC"/>
    <w:rsid w:val="00AA6E4A"/>
    <w:rsid w:val="00AA715E"/>
    <w:rsid w:val="00AB024F"/>
    <w:rsid w:val="00AB3E67"/>
    <w:rsid w:val="00AB3EBD"/>
    <w:rsid w:val="00AB41D5"/>
    <w:rsid w:val="00AC1159"/>
    <w:rsid w:val="00AC1EE7"/>
    <w:rsid w:val="00AC2EDD"/>
    <w:rsid w:val="00AC3E32"/>
    <w:rsid w:val="00AC49C8"/>
    <w:rsid w:val="00AC5A1C"/>
    <w:rsid w:val="00AC6288"/>
    <w:rsid w:val="00AC7D8A"/>
    <w:rsid w:val="00AD3833"/>
    <w:rsid w:val="00AD7F10"/>
    <w:rsid w:val="00AE144E"/>
    <w:rsid w:val="00AE336D"/>
    <w:rsid w:val="00AE6813"/>
    <w:rsid w:val="00AF079C"/>
    <w:rsid w:val="00AF1DDE"/>
    <w:rsid w:val="00AF2899"/>
    <w:rsid w:val="00AF3882"/>
    <w:rsid w:val="00AF7CDD"/>
    <w:rsid w:val="00B00405"/>
    <w:rsid w:val="00B00BA2"/>
    <w:rsid w:val="00B00EB5"/>
    <w:rsid w:val="00B00FD3"/>
    <w:rsid w:val="00B01D13"/>
    <w:rsid w:val="00B024C7"/>
    <w:rsid w:val="00B03E3F"/>
    <w:rsid w:val="00B0509C"/>
    <w:rsid w:val="00B05A74"/>
    <w:rsid w:val="00B07324"/>
    <w:rsid w:val="00B078D8"/>
    <w:rsid w:val="00B1095A"/>
    <w:rsid w:val="00B13E1F"/>
    <w:rsid w:val="00B142B8"/>
    <w:rsid w:val="00B15BFE"/>
    <w:rsid w:val="00B20E65"/>
    <w:rsid w:val="00B2107A"/>
    <w:rsid w:val="00B21D44"/>
    <w:rsid w:val="00B22C85"/>
    <w:rsid w:val="00B23476"/>
    <w:rsid w:val="00B24E9D"/>
    <w:rsid w:val="00B2584D"/>
    <w:rsid w:val="00B25AAB"/>
    <w:rsid w:val="00B2625A"/>
    <w:rsid w:val="00B30957"/>
    <w:rsid w:val="00B30D15"/>
    <w:rsid w:val="00B30DC9"/>
    <w:rsid w:val="00B318DF"/>
    <w:rsid w:val="00B33966"/>
    <w:rsid w:val="00B34095"/>
    <w:rsid w:val="00B36836"/>
    <w:rsid w:val="00B42890"/>
    <w:rsid w:val="00B437FB"/>
    <w:rsid w:val="00B44197"/>
    <w:rsid w:val="00B44C4D"/>
    <w:rsid w:val="00B470BE"/>
    <w:rsid w:val="00B51C40"/>
    <w:rsid w:val="00B54810"/>
    <w:rsid w:val="00B54A00"/>
    <w:rsid w:val="00B574C3"/>
    <w:rsid w:val="00B60F03"/>
    <w:rsid w:val="00B61088"/>
    <w:rsid w:val="00B627AA"/>
    <w:rsid w:val="00B63DCF"/>
    <w:rsid w:val="00B650C6"/>
    <w:rsid w:val="00B671AD"/>
    <w:rsid w:val="00B67385"/>
    <w:rsid w:val="00B70165"/>
    <w:rsid w:val="00B713A0"/>
    <w:rsid w:val="00B730B1"/>
    <w:rsid w:val="00B76320"/>
    <w:rsid w:val="00B76355"/>
    <w:rsid w:val="00B77FED"/>
    <w:rsid w:val="00B81C25"/>
    <w:rsid w:val="00B81D0C"/>
    <w:rsid w:val="00B82607"/>
    <w:rsid w:val="00B826AC"/>
    <w:rsid w:val="00B83095"/>
    <w:rsid w:val="00B92060"/>
    <w:rsid w:val="00B936F1"/>
    <w:rsid w:val="00B93AA8"/>
    <w:rsid w:val="00B95125"/>
    <w:rsid w:val="00BA2B64"/>
    <w:rsid w:val="00BA2C78"/>
    <w:rsid w:val="00BA344B"/>
    <w:rsid w:val="00BA63C2"/>
    <w:rsid w:val="00BA7DD7"/>
    <w:rsid w:val="00BB1FAE"/>
    <w:rsid w:val="00BB2E2C"/>
    <w:rsid w:val="00BB44ED"/>
    <w:rsid w:val="00BB46C8"/>
    <w:rsid w:val="00BB4F34"/>
    <w:rsid w:val="00BB72A9"/>
    <w:rsid w:val="00BC04BC"/>
    <w:rsid w:val="00BC6939"/>
    <w:rsid w:val="00BC77B6"/>
    <w:rsid w:val="00BD03EF"/>
    <w:rsid w:val="00BD0F0F"/>
    <w:rsid w:val="00BD3A59"/>
    <w:rsid w:val="00BD481A"/>
    <w:rsid w:val="00BD50C2"/>
    <w:rsid w:val="00BE0BCA"/>
    <w:rsid w:val="00BE1875"/>
    <w:rsid w:val="00BE19B7"/>
    <w:rsid w:val="00BE1FAC"/>
    <w:rsid w:val="00BE43D9"/>
    <w:rsid w:val="00BE45B0"/>
    <w:rsid w:val="00BE45C8"/>
    <w:rsid w:val="00BF029C"/>
    <w:rsid w:val="00BF2331"/>
    <w:rsid w:val="00BF3DF3"/>
    <w:rsid w:val="00BF4950"/>
    <w:rsid w:val="00BF4D44"/>
    <w:rsid w:val="00BF5C00"/>
    <w:rsid w:val="00BF7463"/>
    <w:rsid w:val="00C00076"/>
    <w:rsid w:val="00C01933"/>
    <w:rsid w:val="00C03F3B"/>
    <w:rsid w:val="00C0401D"/>
    <w:rsid w:val="00C07C88"/>
    <w:rsid w:val="00C149B2"/>
    <w:rsid w:val="00C161A4"/>
    <w:rsid w:val="00C16C98"/>
    <w:rsid w:val="00C17268"/>
    <w:rsid w:val="00C207F2"/>
    <w:rsid w:val="00C20ABE"/>
    <w:rsid w:val="00C24339"/>
    <w:rsid w:val="00C26D7E"/>
    <w:rsid w:val="00C26EE5"/>
    <w:rsid w:val="00C30889"/>
    <w:rsid w:val="00C30E77"/>
    <w:rsid w:val="00C32164"/>
    <w:rsid w:val="00C34F17"/>
    <w:rsid w:val="00C35875"/>
    <w:rsid w:val="00C35EA7"/>
    <w:rsid w:val="00C3651D"/>
    <w:rsid w:val="00C36EEC"/>
    <w:rsid w:val="00C4109D"/>
    <w:rsid w:val="00C41F0E"/>
    <w:rsid w:val="00C43BE3"/>
    <w:rsid w:val="00C448B2"/>
    <w:rsid w:val="00C44B5D"/>
    <w:rsid w:val="00C44C79"/>
    <w:rsid w:val="00C45D8E"/>
    <w:rsid w:val="00C4644E"/>
    <w:rsid w:val="00C53C3B"/>
    <w:rsid w:val="00C5499C"/>
    <w:rsid w:val="00C57ABC"/>
    <w:rsid w:val="00C57C7A"/>
    <w:rsid w:val="00C62C5A"/>
    <w:rsid w:val="00C6321A"/>
    <w:rsid w:val="00C63726"/>
    <w:rsid w:val="00C649F4"/>
    <w:rsid w:val="00C64DE5"/>
    <w:rsid w:val="00C72FEA"/>
    <w:rsid w:val="00C73F7A"/>
    <w:rsid w:val="00C760D4"/>
    <w:rsid w:val="00C84C75"/>
    <w:rsid w:val="00C84D44"/>
    <w:rsid w:val="00C853E9"/>
    <w:rsid w:val="00C87AB4"/>
    <w:rsid w:val="00C87C5A"/>
    <w:rsid w:val="00C90A2E"/>
    <w:rsid w:val="00C90CB2"/>
    <w:rsid w:val="00C910FD"/>
    <w:rsid w:val="00C92FAA"/>
    <w:rsid w:val="00C975EA"/>
    <w:rsid w:val="00C97653"/>
    <w:rsid w:val="00CA019F"/>
    <w:rsid w:val="00CA0562"/>
    <w:rsid w:val="00CA0DEB"/>
    <w:rsid w:val="00CA432F"/>
    <w:rsid w:val="00CA5116"/>
    <w:rsid w:val="00CA59A1"/>
    <w:rsid w:val="00CA7205"/>
    <w:rsid w:val="00CB2116"/>
    <w:rsid w:val="00CB412F"/>
    <w:rsid w:val="00CB58B1"/>
    <w:rsid w:val="00CB6EBE"/>
    <w:rsid w:val="00CC1317"/>
    <w:rsid w:val="00CC3934"/>
    <w:rsid w:val="00CC5861"/>
    <w:rsid w:val="00CC7831"/>
    <w:rsid w:val="00CD00AE"/>
    <w:rsid w:val="00CD1A6C"/>
    <w:rsid w:val="00CD30E9"/>
    <w:rsid w:val="00CD44BD"/>
    <w:rsid w:val="00CD5191"/>
    <w:rsid w:val="00CD68DE"/>
    <w:rsid w:val="00CE0E6A"/>
    <w:rsid w:val="00CE1483"/>
    <w:rsid w:val="00CE18E7"/>
    <w:rsid w:val="00CE36C6"/>
    <w:rsid w:val="00CE3C82"/>
    <w:rsid w:val="00CE58A9"/>
    <w:rsid w:val="00CF0F39"/>
    <w:rsid w:val="00CF1D03"/>
    <w:rsid w:val="00CF3049"/>
    <w:rsid w:val="00CF3B9E"/>
    <w:rsid w:val="00CF6016"/>
    <w:rsid w:val="00D00398"/>
    <w:rsid w:val="00D033E1"/>
    <w:rsid w:val="00D03403"/>
    <w:rsid w:val="00D076B0"/>
    <w:rsid w:val="00D11E3F"/>
    <w:rsid w:val="00D133C5"/>
    <w:rsid w:val="00D13B5B"/>
    <w:rsid w:val="00D15746"/>
    <w:rsid w:val="00D159BE"/>
    <w:rsid w:val="00D20C42"/>
    <w:rsid w:val="00D23E8F"/>
    <w:rsid w:val="00D26517"/>
    <w:rsid w:val="00D30B69"/>
    <w:rsid w:val="00D30B81"/>
    <w:rsid w:val="00D313CD"/>
    <w:rsid w:val="00D31C2D"/>
    <w:rsid w:val="00D32F7D"/>
    <w:rsid w:val="00D32FF3"/>
    <w:rsid w:val="00D341C4"/>
    <w:rsid w:val="00D34769"/>
    <w:rsid w:val="00D3649E"/>
    <w:rsid w:val="00D3729F"/>
    <w:rsid w:val="00D37BE7"/>
    <w:rsid w:val="00D403E4"/>
    <w:rsid w:val="00D411E3"/>
    <w:rsid w:val="00D4421B"/>
    <w:rsid w:val="00D4436D"/>
    <w:rsid w:val="00D46DD2"/>
    <w:rsid w:val="00D5037D"/>
    <w:rsid w:val="00D50F87"/>
    <w:rsid w:val="00D519CE"/>
    <w:rsid w:val="00D52417"/>
    <w:rsid w:val="00D556B4"/>
    <w:rsid w:val="00D55B55"/>
    <w:rsid w:val="00D566A8"/>
    <w:rsid w:val="00D566C5"/>
    <w:rsid w:val="00D567B1"/>
    <w:rsid w:val="00D609F8"/>
    <w:rsid w:val="00D614F9"/>
    <w:rsid w:val="00D61A39"/>
    <w:rsid w:val="00D65327"/>
    <w:rsid w:val="00D723E8"/>
    <w:rsid w:val="00D724C8"/>
    <w:rsid w:val="00D752DD"/>
    <w:rsid w:val="00D75447"/>
    <w:rsid w:val="00D7589D"/>
    <w:rsid w:val="00D77A16"/>
    <w:rsid w:val="00D77AA2"/>
    <w:rsid w:val="00D8165A"/>
    <w:rsid w:val="00D838F5"/>
    <w:rsid w:val="00D87746"/>
    <w:rsid w:val="00D903A2"/>
    <w:rsid w:val="00D90CE5"/>
    <w:rsid w:val="00D9160C"/>
    <w:rsid w:val="00D91F46"/>
    <w:rsid w:val="00D95053"/>
    <w:rsid w:val="00D96063"/>
    <w:rsid w:val="00D96479"/>
    <w:rsid w:val="00D96923"/>
    <w:rsid w:val="00D96D28"/>
    <w:rsid w:val="00DA0697"/>
    <w:rsid w:val="00DA4BAE"/>
    <w:rsid w:val="00DA69CD"/>
    <w:rsid w:val="00DB068A"/>
    <w:rsid w:val="00DB0B75"/>
    <w:rsid w:val="00DB1C46"/>
    <w:rsid w:val="00DB2098"/>
    <w:rsid w:val="00DB3CA5"/>
    <w:rsid w:val="00DB5D83"/>
    <w:rsid w:val="00DB656C"/>
    <w:rsid w:val="00DB7002"/>
    <w:rsid w:val="00DB7B25"/>
    <w:rsid w:val="00DC1F6D"/>
    <w:rsid w:val="00DC221F"/>
    <w:rsid w:val="00DC232C"/>
    <w:rsid w:val="00DC4AC1"/>
    <w:rsid w:val="00DC5E98"/>
    <w:rsid w:val="00DC6D4E"/>
    <w:rsid w:val="00DD3B6F"/>
    <w:rsid w:val="00DD6146"/>
    <w:rsid w:val="00DD6A92"/>
    <w:rsid w:val="00DD6E66"/>
    <w:rsid w:val="00DE0845"/>
    <w:rsid w:val="00DE0C45"/>
    <w:rsid w:val="00DE260C"/>
    <w:rsid w:val="00DE4168"/>
    <w:rsid w:val="00DF0E98"/>
    <w:rsid w:val="00DF0FDA"/>
    <w:rsid w:val="00DF147E"/>
    <w:rsid w:val="00DF2074"/>
    <w:rsid w:val="00DF3ED3"/>
    <w:rsid w:val="00E003A1"/>
    <w:rsid w:val="00E00A54"/>
    <w:rsid w:val="00E0146F"/>
    <w:rsid w:val="00E0156B"/>
    <w:rsid w:val="00E0332E"/>
    <w:rsid w:val="00E043B5"/>
    <w:rsid w:val="00E05E56"/>
    <w:rsid w:val="00E127DC"/>
    <w:rsid w:val="00E142DA"/>
    <w:rsid w:val="00E14F01"/>
    <w:rsid w:val="00E162A6"/>
    <w:rsid w:val="00E1644A"/>
    <w:rsid w:val="00E165F9"/>
    <w:rsid w:val="00E16845"/>
    <w:rsid w:val="00E16F51"/>
    <w:rsid w:val="00E17D34"/>
    <w:rsid w:val="00E20363"/>
    <w:rsid w:val="00E20622"/>
    <w:rsid w:val="00E20A64"/>
    <w:rsid w:val="00E2112E"/>
    <w:rsid w:val="00E21631"/>
    <w:rsid w:val="00E30DB8"/>
    <w:rsid w:val="00E311FC"/>
    <w:rsid w:val="00E31CC4"/>
    <w:rsid w:val="00E32640"/>
    <w:rsid w:val="00E32893"/>
    <w:rsid w:val="00E34664"/>
    <w:rsid w:val="00E358C5"/>
    <w:rsid w:val="00E43A7F"/>
    <w:rsid w:val="00E449A7"/>
    <w:rsid w:val="00E46ED2"/>
    <w:rsid w:val="00E47DD2"/>
    <w:rsid w:val="00E505B3"/>
    <w:rsid w:val="00E50CCC"/>
    <w:rsid w:val="00E5257C"/>
    <w:rsid w:val="00E55DF7"/>
    <w:rsid w:val="00E578FB"/>
    <w:rsid w:val="00E60502"/>
    <w:rsid w:val="00E631F4"/>
    <w:rsid w:val="00E64A07"/>
    <w:rsid w:val="00E64A35"/>
    <w:rsid w:val="00E64D7A"/>
    <w:rsid w:val="00E70006"/>
    <w:rsid w:val="00E70313"/>
    <w:rsid w:val="00E70C65"/>
    <w:rsid w:val="00E72D57"/>
    <w:rsid w:val="00E73055"/>
    <w:rsid w:val="00E733ED"/>
    <w:rsid w:val="00E81D7A"/>
    <w:rsid w:val="00E8538F"/>
    <w:rsid w:val="00E909F5"/>
    <w:rsid w:val="00E91C28"/>
    <w:rsid w:val="00E95482"/>
    <w:rsid w:val="00EA0B38"/>
    <w:rsid w:val="00EA0CAC"/>
    <w:rsid w:val="00EA1E3A"/>
    <w:rsid w:val="00EB0214"/>
    <w:rsid w:val="00EB0B6E"/>
    <w:rsid w:val="00EB37C2"/>
    <w:rsid w:val="00EC0E17"/>
    <w:rsid w:val="00EC27F3"/>
    <w:rsid w:val="00EC389E"/>
    <w:rsid w:val="00EC5B5F"/>
    <w:rsid w:val="00ED2AA1"/>
    <w:rsid w:val="00ED44BC"/>
    <w:rsid w:val="00ED777C"/>
    <w:rsid w:val="00ED7A82"/>
    <w:rsid w:val="00EE29EB"/>
    <w:rsid w:val="00EE3222"/>
    <w:rsid w:val="00EE70C1"/>
    <w:rsid w:val="00EE7277"/>
    <w:rsid w:val="00EE7E42"/>
    <w:rsid w:val="00EF3038"/>
    <w:rsid w:val="00F01ABB"/>
    <w:rsid w:val="00F0243E"/>
    <w:rsid w:val="00F03A0A"/>
    <w:rsid w:val="00F043FB"/>
    <w:rsid w:val="00F05D26"/>
    <w:rsid w:val="00F11D23"/>
    <w:rsid w:val="00F12BEC"/>
    <w:rsid w:val="00F13EA9"/>
    <w:rsid w:val="00F14131"/>
    <w:rsid w:val="00F15FFA"/>
    <w:rsid w:val="00F169E1"/>
    <w:rsid w:val="00F2140E"/>
    <w:rsid w:val="00F21B3F"/>
    <w:rsid w:val="00F22531"/>
    <w:rsid w:val="00F24DAA"/>
    <w:rsid w:val="00F2776D"/>
    <w:rsid w:val="00F27E27"/>
    <w:rsid w:val="00F32F50"/>
    <w:rsid w:val="00F33CF3"/>
    <w:rsid w:val="00F3425A"/>
    <w:rsid w:val="00F34F42"/>
    <w:rsid w:val="00F351DF"/>
    <w:rsid w:val="00F364BC"/>
    <w:rsid w:val="00F42123"/>
    <w:rsid w:val="00F44464"/>
    <w:rsid w:val="00F4527F"/>
    <w:rsid w:val="00F47DB0"/>
    <w:rsid w:val="00F52412"/>
    <w:rsid w:val="00F5516F"/>
    <w:rsid w:val="00F55974"/>
    <w:rsid w:val="00F5703D"/>
    <w:rsid w:val="00F60476"/>
    <w:rsid w:val="00F610C2"/>
    <w:rsid w:val="00F66C8C"/>
    <w:rsid w:val="00F66D57"/>
    <w:rsid w:val="00F674DD"/>
    <w:rsid w:val="00F67870"/>
    <w:rsid w:val="00F67A04"/>
    <w:rsid w:val="00F70ABF"/>
    <w:rsid w:val="00F72B23"/>
    <w:rsid w:val="00F72F01"/>
    <w:rsid w:val="00F75D2B"/>
    <w:rsid w:val="00F77B79"/>
    <w:rsid w:val="00F861B2"/>
    <w:rsid w:val="00F866A8"/>
    <w:rsid w:val="00F928AF"/>
    <w:rsid w:val="00FA383B"/>
    <w:rsid w:val="00FA5035"/>
    <w:rsid w:val="00FA5238"/>
    <w:rsid w:val="00FB0314"/>
    <w:rsid w:val="00FB0B0B"/>
    <w:rsid w:val="00FB10CB"/>
    <w:rsid w:val="00FB15B0"/>
    <w:rsid w:val="00FB1772"/>
    <w:rsid w:val="00FB35C9"/>
    <w:rsid w:val="00FB5B59"/>
    <w:rsid w:val="00FB6470"/>
    <w:rsid w:val="00FC10A3"/>
    <w:rsid w:val="00FC26A8"/>
    <w:rsid w:val="00FC318F"/>
    <w:rsid w:val="00FC7541"/>
    <w:rsid w:val="00FD0D9D"/>
    <w:rsid w:val="00FD1D72"/>
    <w:rsid w:val="00FD20DE"/>
    <w:rsid w:val="00FD2BD8"/>
    <w:rsid w:val="00FD68B7"/>
    <w:rsid w:val="00FD7677"/>
    <w:rsid w:val="00FD7D97"/>
    <w:rsid w:val="00FE1E93"/>
    <w:rsid w:val="00FE2E66"/>
    <w:rsid w:val="00FE517C"/>
    <w:rsid w:val="00FE520F"/>
    <w:rsid w:val="00FE6364"/>
    <w:rsid w:val="00FE6A22"/>
    <w:rsid w:val="00FE70C0"/>
    <w:rsid w:val="00FF2089"/>
    <w:rsid w:val="00FF4998"/>
    <w:rsid w:val="00FF570F"/>
    <w:rsid w:val="2C0C4CB2"/>
    <w:rsid w:val="3C2F0DB6"/>
    <w:rsid w:val="3EF2B737"/>
    <w:rsid w:val="4BEC47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1E58B0"/>
  <w15:chartTrackingRefBased/>
  <w15:docId w15:val="{8D9E2A56-BDB1-4380-AAFA-44F3B8FC0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1" w:qFormat="1"/>
    <w:lsdException w:name="List Number" w:semiHidden="1" w:uiPriority="1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4" w:qFormat="1"/>
    <w:lsdException w:name="Emphasis" w:uiPriority="3"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pPr>
      <w:keepNext/>
      <w:keepLines/>
      <w:pBdr>
        <w:bottom w:val="single" w:sz="18" w:space="1" w:color="2B579A" w:themeColor="accent5"/>
      </w:pBdr>
      <w:spacing w:before="360" w:after="240" w:line="240" w:lineRule="auto"/>
      <w:contextualSpacing/>
      <w:outlineLvl w:val="0"/>
    </w:pPr>
    <w:rPr>
      <w:rFonts w:asciiTheme="majorHAnsi" w:eastAsiaTheme="majorEastAsia" w:hAnsiTheme="majorHAnsi" w:cstheme="majorBidi"/>
      <w:color w:val="3B3838" w:themeColor="background2" w:themeShade="40"/>
      <w:kern w:val="28"/>
      <w:sz w:val="52"/>
      <w:szCs w:val="52"/>
      <w14:ligatures w14:val="standard"/>
      <w14:numForm w14:val="oldStyle"/>
    </w:rPr>
  </w:style>
  <w:style w:type="paragraph" w:styleId="Heading2">
    <w:name w:val="heading 2"/>
    <w:basedOn w:val="Normal"/>
    <w:next w:val="Normal"/>
    <w:link w:val="Heading2Char"/>
    <w:uiPriority w:val="1"/>
    <w:unhideWhenUsed/>
    <w:qFormat/>
    <w:pPr>
      <w:keepNext/>
      <w:keepLines/>
      <w:spacing w:before="120"/>
      <w:outlineLvl w:val="1"/>
    </w:pPr>
    <w:rPr>
      <w:rFonts w:asciiTheme="majorHAnsi" w:eastAsiaTheme="majorEastAsia" w:hAnsiTheme="majorHAnsi" w:cstheme="majorBidi"/>
      <w:color w:val="1F4E79" w:themeColor="accent1" w:themeShade="80"/>
      <w:sz w:val="36"/>
      <w:szCs w:val="26"/>
    </w:rPr>
  </w:style>
  <w:style w:type="paragraph" w:styleId="Heading3">
    <w:name w:val="heading 3"/>
    <w:basedOn w:val="Normal"/>
    <w:next w:val="Normal"/>
    <w:link w:val="Heading3Char"/>
    <w:uiPriority w:val="1"/>
    <w:unhideWhenUsed/>
    <w:qFormat/>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1"/>
    <w:unhideWhenUsed/>
    <w:qFormat/>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1"/>
    <w:semiHidden/>
    <w:unhideWhenUsed/>
    <w:qFormat/>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1"/>
    <w:semiHidden/>
    <w:unhideWhenUsed/>
    <w:qFormat/>
    <w:pPr>
      <w:keepNext/>
      <w:keepLines/>
      <w:spacing w:before="40"/>
      <w:outlineLvl w:val="5"/>
    </w:pPr>
    <w:rPr>
      <w:rFonts w:asciiTheme="majorHAnsi" w:eastAsiaTheme="majorEastAsia" w:hAnsiTheme="majorHAnsi" w:cstheme="majorBidi"/>
      <w:b/>
      <w:color w:val="1F4D78" w:themeColor="accent1" w:themeShade="7F"/>
    </w:rPr>
  </w:style>
  <w:style w:type="paragraph" w:styleId="Heading7">
    <w:name w:val="heading 7"/>
    <w:basedOn w:val="Normal"/>
    <w:next w:val="Normal"/>
    <w:link w:val="Heading7Char"/>
    <w:uiPriority w:val="1"/>
    <w:semiHidden/>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1"/>
    <w:semiHidden/>
    <w:unhideWhenUsed/>
    <w:qFormat/>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1"/>
    <w:semiHidden/>
    <w:unhideWhenUsed/>
    <w:qFormat/>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Pr>
      <w:rFonts w:asciiTheme="majorHAnsi" w:eastAsiaTheme="majorEastAsia" w:hAnsiTheme="majorHAnsi" w:cstheme="majorBidi"/>
      <w:color w:val="3B3838" w:themeColor="background2" w:themeShade="40"/>
      <w:kern w:val="28"/>
      <w:sz w:val="52"/>
      <w:szCs w:val="52"/>
      <w14:ligatures w14:val="standard"/>
      <w14:numForm w14:val="oldStyle"/>
    </w:rPr>
  </w:style>
  <w:style w:type="paragraph" w:styleId="Header">
    <w:name w:val="header"/>
    <w:basedOn w:val="Normal"/>
    <w:link w:val="HeaderChar"/>
    <w:uiPriority w:val="99"/>
    <w:unhideWhenUsed/>
    <w:pPr>
      <w:spacing w:line="240" w:lineRule="auto"/>
    </w:pPr>
    <w:rPr>
      <w:rFonts w:eastAsiaTheme="minorEastAsia"/>
      <w:color w:val="3B3838" w:themeColor="background2" w:themeShade="40"/>
      <w:sz w:val="24"/>
    </w:rPr>
  </w:style>
  <w:style w:type="character" w:customStyle="1" w:styleId="HeaderChar">
    <w:name w:val="Header Char"/>
    <w:basedOn w:val="DefaultParagraphFont"/>
    <w:link w:val="Header"/>
    <w:uiPriority w:val="99"/>
    <w:rPr>
      <w:rFonts w:eastAsiaTheme="minorEastAsia"/>
      <w:color w:val="3B3838" w:themeColor="background2" w:themeShade="40"/>
      <w:sz w:val="24"/>
    </w:rPr>
  </w:style>
  <w:style w:type="paragraph" w:styleId="ListNumber">
    <w:name w:val="List Number"/>
    <w:basedOn w:val="Normal"/>
    <w:link w:val="ListNumberChar"/>
    <w:uiPriority w:val="10"/>
    <w:qFormat/>
    <w:pPr>
      <w:numPr>
        <w:numId w:val="1"/>
      </w:numPr>
    </w:pPr>
    <w:rPr>
      <w:rFonts w:eastAsiaTheme="minorEastAsia"/>
      <w:color w:val="3B3838" w:themeColor="background2" w:themeShade="40"/>
    </w:rPr>
  </w:style>
  <w:style w:type="paragraph" w:styleId="Title">
    <w:name w:val="Title"/>
    <w:basedOn w:val="Normal"/>
    <w:link w:val="TitleChar"/>
    <w:uiPriority w:val="1"/>
    <w:qFormat/>
    <w:pPr>
      <w:pBdr>
        <w:left w:val="single" w:sz="48" w:space="0" w:color="2B579A" w:themeColor="accent5"/>
      </w:pBdr>
      <w:shd w:val="clear" w:color="auto" w:fill="2B579A" w:themeFill="accent5"/>
      <w:spacing w:before="0" w:line="240" w:lineRule="auto"/>
      <w:ind w:left="144"/>
      <w:contextualSpacing/>
    </w:pPr>
    <w:rPr>
      <w:rFonts w:asciiTheme="majorHAnsi" w:eastAsiaTheme="majorEastAsia" w:hAnsiTheme="majorHAnsi" w:cstheme="majorBidi"/>
      <w:color w:val="FFFFFF" w:themeColor="background1"/>
      <w:spacing w:val="-10"/>
      <w:kern w:val="28"/>
      <w:sz w:val="96"/>
      <w:szCs w:val="56"/>
    </w:rPr>
  </w:style>
  <w:style w:type="character" w:customStyle="1" w:styleId="TitleChar">
    <w:name w:val="Title Char"/>
    <w:basedOn w:val="DefaultParagraphFont"/>
    <w:link w:val="Title"/>
    <w:uiPriority w:val="1"/>
    <w:rPr>
      <w:rFonts w:asciiTheme="majorHAnsi" w:eastAsiaTheme="majorEastAsia" w:hAnsiTheme="majorHAnsi" w:cstheme="majorBidi"/>
      <w:color w:val="FFFFFF" w:themeColor="background1"/>
      <w:spacing w:val="-10"/>
      <w:kern w:val="28"/>
      <w:sz w:val="96"/>
      <w:szCs w:val="56"/>
      <w:shd w:val="clear" w:color="auto" w:fill="2B579A" w:themeFill="accent5"/>
    </w:rPr>
  </w:style>
  <w:style w:type="paragraph" w:styleId="Subtitle">
    <w:name w:val="Subtitle"/>
    <w:basedOn w:val="Normal"/>
    <w:next w:val="Normal"/>
    <w:link w:val="SubtitleChar"/>
    <w:uiPriority w:val="2"/>
    <w:qFormat/>
    <w:pPr>
      <w:numPr>
        <w:ilvl w:val="1"/>
      </w:numPr>
      <w:pBdr>
        <w:left w:val="single" w:sz="48" w:space="0" w:color="2B579A" w:themeColor="accent5"/>
        <w:bottom w:val="single" w:sz="48" w:space="1" w:color="2B579A" w:themeColor="accent5"/>
      </w:pBdr>
      <w:shd w:val="clear" w:color="auto" w:fill="2B579A" w:themeFill="accent5"/>
      <w:spacing w:before="0" w:after="120"/>
      <w:ind w:left="144"/>
      <w:contextualSpacing/>
    </w:pPr>
    <w:rPr>
      <w:rFonts w:asciiTheme="majorHAnsi" w:eastAsiaTheme="minorEastAsia" w:hAnsiTheme="majorHAnsi"/>
      <w:color w:val="FFFFFF" w:themeColor="background1"/>
      <w:spacing w:val="15"/>
      <w:sz w:val="36"/>
    </w:rPr>
  </w:style>
  <w:style w:type="character" w:customStyle="1" w:styleId="SubtitleChar">
    <w:name w:val="Subtitle Char"/>
    <w:basedOn w:val="DefaultParagraphFont"/>
    <w:link w:val="Subtitle"/>
    <w:uiPriority w:val="2"/>
    <w:rPr>
      <w:rFonts w:asciiTheme="majorHAnsi" w:eastAsiaTheme="minorEastAsia" w:hAnsiTheme="majorHAnsi"/>
      <w:color w:val="FFFFFF" w:themeColor="background1"/>
      <w:spacing w:val="15"/>
      <w:sz w:val="36"/>
      <w:shd w:val="clear" w:color="auto" w:fill="2B579A" w:themeFill="accent5"/>
    </w:rPr>
  </w:style>
  <w:style w:type="table" w:styleId="TableGrid">
    <w:name w:val="Table Grid"/>
    <w:basedOn w:val="TableNormal"/>
    <w:uiPriority w:val="39"/>
    <w:pPr>
      <w:spacing w:line="240" w:lineRule="auto"/>
    </w:pPr>
    <w:rPr>
      <w:rFonts w:ascii="Arial" w:hAnsi="Arial"/>
      <w:color w:val="404040" w:themeColor="text1" w:themeTint="BF"/>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heme="minorEastAsia" w:hAnsi="Times New Roman" w:cs="Times New Roman"/>
      <w:color w:val="404040" w:themeColor="text1" w:themeTint="BF"/>
      <w:sz w:val="24"/>
      <w:szCs w:val="24"/>
    </w:rPr>
  </w:style>
  <w:style w:type="paragraph" w:styleId="Footer">
    <w:name w:val="footer"/>
    <w:basedOn w:val="Normal"/>
    <w:link w:val="FooterChar"/>
    <w:uiPriority w:val="99"/>
    <w:unhideWhenUsed/>
    <w:pPr>
      <w:spacing w:line="240" w:lineRule="auto"/>
    </w:pPr>
  </w:style>
  <w:style w:type="character" w:customStyle="1" w:styleId="FooterChar">
    <w:name w:val="Footer Char"/>
    <w:basedOn w:val="DefaultParagraphFont"/>
    <w:link w:val="Footer"/>
    <w:uiPriority w:val="99"/>
  </w:style>
  <w:style w:type="character" w:styleId="IntenseEmphasis">
    <w:name w:val="Intense Emphasis"/>
    <w:basedOn w:val="DefaultParagraphFont"/>
    <w:uiPriority w:val="21"/>
    <w:qFormat/>
    <w:rPr>
      <w:i/>
      <w:iCs/>
      <w:color w:val="2B579A" w:themeColor="accent5"/>
    </w:rPr>
  </w:style>
  <w:style w:type="table" w:styleId="GridTable1Light">
    <w:name w:val="Grid Table 1 Light"/>
    <w:basedOn w:val="TableNormal"/>
    <w:uiPriority w:val="46"/>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4-Accent5">
    <w:name w:val="Grid Table 4 Accent 5"/>
    <w:basedOn w:val="TableNormal"/>
    <w:uiPriority w:val="49"/>
    <w:pPr>
      <w:spacing w:line="240" w:lineRule="auto"/>
    </w:pPr>
    <w:tblPr>
      <w:tblStyleRowBandSize w:val="1"/>
      <w:tblStyleColBandSize w:val="1"/>
      <w:tblBorders>
        <w:top w:val="single" w:sz="4" w:space="0" w:color="6C95D6" w:themeColor="accent5" w:themeTint="99"/>
        <w:left w:val="single" w:sz="4" w:space="0" w:color="6C95D6" w:themeColor="accent5" w:themeTint="99"/>
        <w:bottom w:val="single" w:sz="4" w:space="0" w:color="6C95D6" w:themeColor="accent5" w:themeTint="99"/>
        <w:right w:val="single" w:sz="4" w:space="0" w:color="6C95D6" w:themeColor="accent5" w:themeTint="99"/>
        <w:insideH w:val="single" w:sz="4" w:space="0" w:color="6C95D6" w:themeColor="accent5" w:themeTint="99"/>
        <w:insideV w:val="single" w:sz="4" w:space="0" w:color="6C95D6" w:themeColor="accent5" w:themeTint="99"/>
      </w:tblBorders>
    </w:tblPr>
    <w:tblStylePr w:type="firstRow">
      <w:rPr>
        <w:b/>
        <w:bCs/>
        <w:color w:val="FFFFFF" w:themeColor="background1"/>
      </w:rPr>
      <w:tblPr/>
      <w:tcPr>
        <w:tcBorders>
          <w:top w:val="single" w:sz="4" w:space="0" w:color="2B579A" w:themeColor="accent5"/>
          <w:left w:val="single" w:sz="4" w:space="0" w:color="2B579A" w:themeColor="accent5"/>
          <w:bottom w:val="single" w:sz="4" w:space="0" w:color="2B579A" w:themeColor="accent5"/>
          <w:right w:val="single" w:sz="4" w:space="0" w:color="2B579A" w:themeColor="accent5"/>
          <w:insideH w:val="nil"/>
          <w:insideV w:val="nil"/>
        </w:tcBorders>
        <w:shd w:val="clear" w:color="auto" w:fill="2B579A" w:themeFill="accent5"/>
      </w:tcPr>
    </w:tblStylePr>
    <w:tblStylePr w:type="lastRow">
      <w:rPr>
        <w:b/>
        <w:bCs/>
      </w:rPr>
      <w:tblPr/>
      <w:tcPr>
        <w:tcBorders>
          <w:top w:val="double" w:sz="4" w:space="0" w:color="2B579A" w:themeColor="accent5"/>
        </w:tcBorders>
      </w:tcPr>
    </w:tblStylePr>
    <w:tblStylePr w:type="firstCol">
      <w:rPr>
        <w:b/>
        <w:bCs/>
      </w:rPr>
    </w:tblStylePr>
    <w:tblStylePr w:type="lastCol">
      <w:rPr>
        <w:b/>
        <w:bCs/>
      </w:rPr>
    </w:tblStylePr>
    <w:tblStylePr w:type="band1Vert">
      <w:tblPr/>
      <w:tcPr>
        <w:shd w:val="clear" w:color="auto" w:fill="CEDBF1" w:themeFill="accent5" w:themeFillTint="33"/>
      </w:tcPr>
    </w:tblStylePr>
    <w:tblStylePr w:type="band1Horz">
      <w:tblPr/>
      <w:tcPr>
        <w:shd w:val="clear" w:color="auto" w:fill="CEDBF1" w:themeFill="accent5" w:themeFillTint="33"/>
      </w:tcPr>
    </w:tblStylePr>
  </w:style>
  <w:style w:type="table" w:styleId="GridTable1Light-Accent6">
    <w:name w:val="Grid Table 1 Light Accent 6"/>
    <w:basedOn w:val="TableNormal"/>
    <w:uiPriority w:val="46"/>
    <w:pPr>
      <w:spacing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5Dark">
    <w:name w:val="Grid Table 5 Dark"/>
    <w:basedOn w:val="TableNormal"/>
    <w:uiPriority w:val="50"/>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4">
    <w:name w:val="Grid Table 4"/>
    <w:basedOn w:val="TableNormal"/>
    <w:uiPriority w:val="49"/>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1">
    <w:name w:val="Grid Table 1 Light Accent 1"/>
    <w:basedOn w:val="TableNormal"/>
    <w:uiPriority w:val="46"/>
    <w:pPr>
      <w:spacing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1"/>
    <w:rPr>
      <w:rFonts w:asciiTheme="majorHAnsi" w:eastAsiaTheme="majorEastAsia" w:hAnsiTheme="majorHAnsi" w:cstheme="majorBidi"/>
      <w:color w:val="1F4E79" w:themeColor="accent1" w:themeShade="80"/>
      <w:sz w:val="36"/>
      <w:szCs w:val="26"/>
    </w:rPr>
  </w:style>
  <w:style w:type="paragraph" w:styleId="ListBullet">
    <w:name w:val="List Bullet"/>
    <w:basedOn w:val="Normal"/>
    <w:uiPriority w:val="11"/>
    <w:qFormat/>
    <w:pPr>
      <w:numPr>
        <w:numId w:val="2"/>
      </w:numPr>
    </w:pPr>
  </w:style>
  <w:style w:type="paragraph" w:styleId="BalloonText">
    <w:name w:val="Balloon Text"/>
    <w:basedOn w:val="Normal"/>
    <w:link w:val="BalloonTextChar"/>
    <w:uiPriority w:val="99"/>
    <w:semiHidden/>
    <w:unhideWhenUsed/>
    <w:pPr>
      <w:spacing w:line="240" w:lineRule="auto"/>
    </w:pPr>
    <w:rPr>
      <w:rFonts w:cs="Segoe UI"/>
      <w:szCs w:val="18"/>
    </w:rPr>
  </w:style>
  <w:style w:type="character" w:customStyle="1" w:styleId="BalloonTextChar">
    <w:name w:val="Balloon Text Char"/>
    <w:basedOn w:val="DefaultParagraphFont"/>
    <w:link w:val="BalloonText"/>
    <w:uiPriority w:val="99"/>
    <w:semiHidden/>
    <w:rPr>
      <w:rFonts w:cs="Segoe UI"/>
      <w:szCs w:val="18"/>
    </w:rPr>
  </w:style>
  <w:style w:type="character" w:styleId="CommentReference">
    <w:name w:val="annotation reference"/>
    <w:basedOn w:val="DefaultParagraphFont"/>
    <w:uiPriority w:val="99"/>
    <w:semiHidden/>
    <w:unhideWhenUsed/>
    <w:rPr>
      <w:sz w:val="22"/>
      <w:szCs w:val="16"/>
    </w:rPr>
  </w:style>
  <w:style w:type="paragraph" w:styleId="CommentText">
    <w:name w:val="annotation text"/>
    <w:basedOn w:val="Normal"/>
    <w:link w:val="CommentTextChar"/>
    <w:uiPriority w:val="99"/>
    <w:semiHidden/>
    <w:unhideWhenUsed/>
    <w:pPr>
      <w:spacing w:line="240" w:lineRule="auto"/>
    </w:pPr>
    <w:rPr>
      <w:szCs w:val="20"/>
    </w:rPr>
  </w:style>
  <w:style w:type="character" w:customStyle="1" w:styleId="CommentTextChar">
    <w:name w:val="Comment Text Char"/>
    <w:basedOn w:val="DefaultParagraphFont"/>
    <w:link w:val="CommentText"/>
    <w:uiPriority w:val="99"/>
    <w:semiHidden/>
    <w:rPr>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Cs w:val="20"/>
    </w:rPr>
  </w:style>
  <w:style w:type="character" w:styleId="Hyperlink">
    <w:name w:val="Hyperlink"/>
    <w:basedOn w:val="DefaultParagraphFont"/>
    <w:uiPriority w:val="99"/>
    <w:unhideWhenUsed/>
    <w:rPr>
      <w:color w:val="0563C1" w:themeColor="hyperlink"/>
      <w:u w:val="single"/>
    </w:rPr>
  </w:style>
  <w:style w:type="character" w:styleId="Emphasis">
    <w:name w:val="Emphasis"/>
    <w:basedOn w:val="DefaultParagraphFont"/>
    <w:uiPriority w:val="3"/>
    <w:qFormat/>
    <w:rPr>
      <w:b/>
      <w:iCs/>
      <w:color w:val="BF0000" w:themeColor="accent2" w:themeShade="BF"/>
    </w:rPr>
  </w:style>
  <w:style w:type="character" w:styleId="FollowedHyperlink">
    <w:name w:val="FollowedHyperlink"/>
    <w:basedOn w:val="DefaultParagraphFont"/>
    <w:uiPriority w:val="99"/>
    <w:semiHidden/>
    <w:unhideWhenUsed/>
    <w:rPr>
      <w:color w:val="954F72" w:themeColor="followedHyperlink"/>
      <w:u w:val="single"/>
    </w:rPr>
  </w:style>
  <w:style w:type="character" w:styleId="Strong">
    <w:name w:val="Strong"/>
    <w:basedOn w:val="DefaultParagraphFont"/>
    <w:uiPriority w:val="4"/>
    <w:qFormat/>
    <w:rPr>
      <w:b/>
      <w:bCs/>
      <w:color w:val="2B579A" w:themeColor="accent5"/>
    </w:rPr>
  </w:style>
  <w:style w:type="paragraph" w:customStyle="1" w:styleId="Heading1-PageBreak">
    <w:name w:val="Heading 1 - Page Break"/>
    <w:basedOn w:val="Normal"/>
    <w:uiPriority w:val="6"/>
    <w:qFormat/>
    <w:pPr>
      <w:keepNext/>
      <w:keepLines/>
      <w:pageBreakBefore/>
      <w:pBdr>
        <w:bottom w:val="single" w:sz="18" w:space="1" w:color="2B579A" w:themeColor="accent5"/>
      </w:pBdr>
      <w:spacing w:before="360" w:after="240"/>
      <w:contextualSpacing/>
    </w:pPr>
    <w:rPr>
      <w:rFonts w:asciiTheme="majorHAnsi" w:hAnsiTheme="majorHAnsi"/>
      <w:color w:val="3B3838" w:themeColor="background2" w:themeShade="40"/>
      <w:sz w:val="52"/>
    </w:rPr>
  </w:style>
  <w:style w:type="paragraph" w:customStyle="1" w:styleId="Image">
    <w:name w:val="Image"/>
    <w:basedOn w:val="Normal"/>
    <w:uiPriority w:val="22"/>
    <w:qFormat/>
    <w:pPr>
      <w:spacing w:before="240"/>
    </w:pPr>
    <w:rPr>
      <w:noProof/>
    </w:rPr>
  </w:style>
  <w:style w:type="paragraph" w:styleId="Bibliography">
    <w:name w:val="Bibliography"/>
    <w:basedOn w:val="Normal"/>
    <w:next w:val="Normal"/>
    <w:uiPriority w:val="37"/>
    <w:semiHidden/>
    <w:unhideWhenUsed/>
  </w:style>
  <w:style w:type="paragraph" w:styleId="TOCHeading">
    <w:name w:val="TOC Heading"/>
    <w:basedOn w:val="Heading1"/>
    <w:next w:val="Normal"/>
    <w:uiPriority w:val="39"/>
    <w:unhideWhenUsed/>
    <w:qFormat/>
    <w:pPr>
      <w:outlineLvl w:val="9"/>
    </w:pPr>
    <w:rPr>
      <w:kern w:val="0"/>
      <w:szCs w:val="32"/>
      <w14:ligatures w14:val="none"/>
      <w14:numForm w14:val="default"/>
    </w:rPr>
  </w:style>
  <w:style w:type="paragraph" w:styleId="BlockText">
    <w:name w:val="Block Text"/>
    <w:basedOn w:val="Normal"/>
    <w:uiPriority w:val="99"/>
    <w:semiHidden/>
    <w:unhideWhenUsed/>
    <w:pPr>
      <w:pBdr>
        <w:top w:val="single" w:sz="2" w:space="10" w:color="1F4E79" w:themeColor="accent1" w:themeShade="80"/>
        <w:left w:val="single" w:sz="2" w:space="10" w:color="1F4E79" w:themeColor="accent1" w:themeShade="80"/>
        <w:bottom w:val="single" w:sz="2" w:space="10" w:color="1F4E79" w:themeColor="accent1" w:themeShade="80"/>
        <w:right w:val="single" w:sz="2" w:space="10" w:color="1F4E79" w:themeColor="accent1" w:themeShade="80"/>
      </w:pBdr>
      <w:ind w:left="1152" w:right="1152"/>
    </w:pPr>
    <w:rPr>
      <w:rFonts w:eastAsiaTheme="minorEastAsia"/>
      <w:i/>
      <w:iCs/>
      <w:color w:val="1F4E79" w:themeColor="accent1" w:themeShade="80"/>
    </w:rPr>
  </w:style>
  <w:style w:type="paragraph" w:styleId="BodyText">
    <w:name w:val="Body Text"/>
    <w:basedOn w:val="Normal"/>
    <w:link w:val="BodyTextChar"/>
    <w:uiPriority w:val="99"/>
    <w:semiHidden/>
    <w:unhideWhenUsed/>
    <w:pPr>
      <w:spacing w:after="120"/>
    </w:pPr>
  </w:style>
  <w:style w:type="character" w:customStyle="1" w:styleId="BodyTextChar">
    <w:name w:val="Body Text Char"/>
    <w:basedOn w:val="DefaultParagraphFont"/>
    <w:link w:val="BodyText"/>
    <w:uiPriority w:val="99"/>
    <w:semiHidden/>
  </w:style>
  <w:style w:type="paragraph" w:styleId="BodyText2">
    <w:name w:val="Body Text 2"/>
    <w:basedOn w:val="Normal"/>
    <w:link w:val="BodyText2Char"/>
    <w:uiPriority w:val="99"/>
    <w:semiHidden/>
    <w:unhideWhenUsed/>
    <w:pPr>
      <w:spacing w:after="120" w:line="480" w:lineRule="auto"/>
    </w:p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pPr>
      <w:spacing w:after="120"/>
    </w:pPr>
    <w:rPr>
      <w:szCs w:val="16"/>
    </w:rPr>
  </w:style>
  <w:style w:type="character" w:customStyle="1" w:styleId="BodyText3Char">
    <w:name w:val="Body Text 3 Char"/>
    <w:basedOn w:val="DefaultParagraphFont"/>
    <w:link w:val="BodyText3"/>
    <w:uiPriority w:val="99"/>
    <w:semiHidden/>
    <w:rPr>
      <w:szCs w:val="16"/>
    </w:rPr>
  </w:style>
  <w:style w:type="paragraph" w:styleId="BodyTextFirstIndent">
    <w:name w:val="Body Text First Indent"/>
    <w:basedOn w:val="BodyText"/>
    <w:link w:val="BodyTextFirstIndentChar"/>
    <w:uiPriority w:val="99"/>
    <w:semiHidden/>
    <w:unhideWhenUsed/>
    <w:pPr>
      <w:spacing w:after="0"/>
      <w:ind w:firstLine="360"/>
    </w:pPr>
  </w:style>
  <w:style w:type="character" w:customStyle="1" w:styleId="BodyTextFirstIndentChar">
    <w:name w:val="Body Text First Indent Char"/>
    <w:basedOn w:val="BodyTextChar"/>
    <w:link w:val="BodyTextFirstIndent"/>
    <w:uiPriority w:val="99"/>
    <w:semiHidden/>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ind w:firstLine="36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line="480" w:lineRule="auto"/>
      <w:ind w:left="360"/>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pPr>
    <w:rPr>
      <w:szCs w:val="16"/>
    </w:rPr>
  </w:style>
  <w:style w:type="character" w:customStyle="1" w:styleId="BodyTextIndent3Char">
    <w:name w:val="Body Text Indent 3 Char"/>
    <w:basedOn w:val="DefaultParagraphFont"/>
    <w:link w:val="BodyTextIndent3"/>
    <w:uiPriority w:val="99"/>
    <w:semiHidden/>
    <w:rPr>
      <w:szCs w:val="16"/>
    </w:rPr>
  </w:style>
  <w:style w:type="character" w:styleId="BookTitle">
    <w:name w:val="Book Title"/>
    <w:basedOn w:val="DefaultParagraphFont"/>
    <w:uiPriority w:val="33"/>
    <w:semiHidden/>
    <w:unhideWhenUsed/>
    <w:qFormat/>
    <w:rPr>
      <w:b/>
      <w:bCs/>
      <w:i/>
      <w:iCs/>
      <w:spacing w:val="0"/>
    </w:rPr>
  </w:style>
  <w:style w:type="paragraph" w:styleId="Caption">
    <w:name w:val="caption"/>
    <w:basedOn w:val="Normal"/>
    <w:next w:val="Normal"/>
    <w:uiPriority w:val="35"/>
    <w:semiHidden/>
    <w:unhideWhenUsed/>
    <w:qFormat/>
    <w:pPr>
      <w:spacing w:before="0" w:after="200" w:line="240" w:lineRule="auto"/>
    </w:pPr>
    <w:rPr>
      <w:i/>
      <w:iCs/>
      <w:color w:val="44546A" w:themeColor="text2"/>
      <w:szCs w:val="18"/>
    </w:rPr>
  </w:style>
  <w:style w:type="paragraph" w:styleId="Closing">
    <w:name w:val="Closing"/>
    <w:basedOn w:val="Normal"/>
    <w:link w:val="ClosingChar"/>
    <w:uiPriority w:val="99"/>
    <w:semiHidden/>
    <w:unhideWhenUsed/>
    <w:pPr>
      <w:spacing w:before="0" w:line="240" w:lineRule="auto"/>
      <w:ind w:left="4320"/>
    </w:pPr>
  </w:style>
  <w:style w:type="character" w:customStyle="1" w:styleId="ClosingChar">
    <w:name w:val="Closing Char"/>
    <w:basedOn w:val="DefaultParagraphFont"/>
    <w:link w:val="Closing"/>
    <w:uiPriority w:val="99"/>
    <w:semiHidden/>
  </w:style>
  <w:style w:type="table" w:styleId="ColorfulGrid">
    <w:name w:val="Colorful Grid"/>
    <w:basedOn w:val="TableNormal"/>
    <w:uiPriority w:val="73"/>
    <w:semiHidden/>
    <w:unhideWhenUsed/>
    <w:pPr>
      <w:spacing w:before="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pPr>
      <w:spacing w:before="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olorfulGrid-Accent2">
    <w:name w:val="Colorful Grid Accent 2"/>
    <w:basedOn w:val="TableNormal"/>
    <w:uiPriority w:val="73"/>
    <w:semiHidden/>
    <w:unhideWhenUsed/>
    <w:pPr>
      <w:spacing w:before="0" w:line="240" w:lineRule="auto"/>
    </w:pPr>
    <w:rPr>
      <w:color w:val="000000" w:themeColor="text1"/>
    </w:rPr>
    <w:tblPr>
      <w:tblStyleRowBandSize w:val="1"/>
      <w:tblStyleColBandSize w:val="1"/>
      <w:tblBorders>
        <w:insideH w:val="single" w:sz="4" w:space="0" w:color="FFFFFF" w:themeColor="background1"/>
      </w:tblBorders>
    </w:tblPr>
    <w:tcPr>
      <w:shd w:val="clear" w:color="auto" w:fill="FFCCCC" w:themeFill="accent2" w:themeFillTint="33"/>
    </w:tcPr>
    <w:tblStylePr w:type="firstRow">
      <w:rPr>
        <w:b/>
        <w:bCs/>
      </w:rPr>
      <w:tblPr/>
      <w:tcPr>
        <w:shd w:val="clear" w:color="auto" w:fill="FF9999" w:themeFill="accent2" w:themeFillTint="66"/>
      </w:tcPr>
    </w:tblStylePr>
    <w:tblStylePr w:type="lastRow">
      <w:rPr>
        <w:b/>
        <w:bCs/>
        <w:color w:val="000000" w:themeColor="text1"/>
      </w:rPr>
      <w:tblPr/>
      <w:tcPr>
        <w:shd w:val="clear" w:color="auto" w:fill="FF9999" w:themeFill="accent2" w:themeFillTint="66"/>
      </w:tcPr>
    </w:tblStylePr>
    <w:tblStylePr w:type="firstCol">
      <w:rPr>
        <w:color w:val="FFFFFF" w:themeColor="background1"/>
      </w:rPr>
      <w:tblPr/>
      <w:tcPr>
        <w:shd w:val="clear" w:color="auto" w:fill="BF0000" w:themeFill="accent2" w:themeFillShade="BF"/>
      </w:tcPr>
    </w:tblStylePr>
    <w:tblStylePr w:type="lastCol">
      <w:rPr>
        <w:color w:val="FFFFFF" w:themeColor="background1"/>
      </w:rPr>
      <w:tblPr/>
      <w:tcPr>
        <w:shd w:val="clear" w:color="auto" w:fill="BF0000" w:themeFill="accent2" w:themeFillShade="BF"/>
      </w:tcPr>
    </w:tblStylePr>
    <w:tblStylePr w:type="band1Vert">
      <w:tblPr/>
      <w:tcPr>
        <w:shd w:val="clear" w:color="auto" w:fill="FF8080" w:themeFill="accent2" w:themeFillTint="7F"/>
      </w:tcPr>
    </w:tblStylePr>
    <w:tblStylePr w:type="band1Horz">
      <w:tblPr/>
      <w:tcPr>
        <w:shd w:val="clear" w:color="auto" w:fill="FF8080" w:themeFill="accent2" w:themeFillTint="7F"/>
      </w:tcPr>
    </w:tblStylePr>
  </w:style>
  <w:style w:type="table" w:styleId="ColorfulGrid-Accent3">
    <w:name w:val="Colorful Grid Accent 3"/>
    <w:basedOn w:val="TableNormal"/>
    <w:uiPriority w:val="73"/>
    <w:semiHidden/>
    <w:unhideWhenUsed/>
    <w:pPr>
      <w:spacing w:before="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pPr>
      <w:spacing w:before="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semiHidden/>
    <w:unhideWhenUsed/>
    <w:pPr>
      <w:spacing w:before="0" w:line="240" w:lineRule="auto"/>
    </w:pPr>
    <w:rPr>
      <w:color w:val="000000" w:themeColor="text1"/>
    </w:rPr>
    <w:tblPr>
      <w:tblStyleRowBandSize w:val="1"/>
      <w:tblStyleColBandSize w:val="1"/>
      <w:tblBorders>
        <w:insideH w:val="single" w:sz="4" w:space="0" w:color="FFFFFF" w:themeColor="background1"/>
      </w:tblBorders>
    </w:tblPr>
    <w:tcPr>
      <w:shd w:val="clear" w:color="auto" w:fill="CEDBF1" w:themeFill="accent5" w:themeFillTint="33"/>
    </w:tcPr>
    <w:tblStylePr w:type="firstRow">
      <w:rPr>
        <w:b/>
        <w:bCs/>
      </w:rPr>
      <w:tblPr/>
      <w:tcPr>
        <w:shd w:val="clear" w:color="auto" w:fill="9DB8E3" w:themeFill="accent5" w:themeFillTint="66"/>
      </w:tcPr>
    </w:tblStylePr>
    <w:tblStylePr w:type="lastRow">
      <w:rPr>
        <w:b/>
        <w:bCs/>
        <w:color w:val="000000" w:themeColor="text1"/>
      </w:rPr>
      <w:tblPr/>
      <w:tcPr>
        <w:shd w:val="clear" w:color="auto" w:fill="9DB8E3" w:themeFill="accent5" w:themeFillTint="66"/>
      </w:tcPr>
    </w:tblStylePr>
    <w:tblStylePr w:type="firstCol">
      <w:rPr>
        <w:color w:val="FFFFFF" w:themeColor="background1"/>
      </w:rPr>
      <w:tblPr/>
      <w:tcPr>
        <w:shd w:val="clear" w:color="auto" w:fill="204173" w:themeFill="accent5" w:themeFillShade="BF"/>
      </w:tcPr>
    </w:tblStylePr>
    <w:tblStylePr w:type="lastCol">
      <w:rPr>
        <w:color w:val="FFFFFF" w:themeColor="background1"/>
      </w:rPr>
      <w:tblPr/>
      <w:tcPr>
        <w:shd w:val="clear" w:color="auto" w:fill="204173" w:themeFill="accent5" w:themeFillShade="BF"/>
      </w:tcPr>
    </w:tblStylePr>
    <w:tblStylePr w:type="band1Vert">
      <w:tblPr/>
      <w:tcPr>
        <w:shd w:val="clear" w:color="auto" w:fill="85A7DD" w:themeFill="accent5" w:themeFillTint="7F"/>
      </w:tcPr>
    </w:tblStylePr>
    <w:tblStylePr w:type="band1Horz">
      <w:tblPr/>
      <w:tcPr>
        <w:shd w:val="clear" w:color="auto" w:fill="85A7DD" w:themeFill="accent5" w:themeFillTint="7F"/>
      </w:tcPr>
    </w:tblStylePr>
  </w:style>
  <w:style w:type="table" w:styleId="ColorfulGrid-Accent6">
    <w:name w:val="Colorful Grid Accent 6"/>
    <w:basedOn w:val="TableNormal"/>
    <w:uiPriority w:val="73"/>
    <w:semiHidden/>
    <w:unhideWhenUsed/>
    <w:pPr>
      <w:spacing w:before="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List">
    <w:name w:val="Colorful List"/>
    <w:basedOn w:val="TableNormal"/>
    <w:uiPriority w:val="72"/>
    <w:semiHidden/>
    <w:unhideWhenUsed/>
    <w:pPr>
      <w:spacing w:before="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0000" w:themeFill="accent2" w:themeFillShade="CC"/>
      </w:tcPr>
    </w:tblStylePr>
    <w:tblStylePr w:type="lastRow">
      <w:rPr>
        <w:b/>
        <w:bCs/>
        <w:color w:val="CC000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pPr>
      <w:spacing w:before="0" w:line="240" w:lineRule="auto"/>
    </w:pPr>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CC0000" w:themeFill="accent2" w:themeFillShade="CC"/>
      </w:tcPr>
    </w:tblStylePr>
    <w:tblStylePr w:type="lastRow">
      <w:rPr>
        <w:b/>
        <w:bCs/>
        <w:color w:val="CC000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ColorfulList-Accent2">
    <w:name w:val="Colorful List Accent 2"/>
    <w:basedOn w:val="TableNormal"/>
    <w:uiPriority w:val="72"/>
    <w:semiHidden/>
    <w:unhideWhenUsed/>
    <w:pPr>
      <w:spacing w:before="0" w:line="240" w:lineRule="auto"/>
    </w:pPr>
    <w:rPr>
      <w:color w:val="000000" w:themeColor="text1"/>
    </w:rPr>
    <w:tblPr>
      <w:tblStyleRowBandSize w:val="1"/>
      <w:tblStyleColBandSize w:val="1"/>
    </w:tblPr>
    <w:tcPr>
      <w:shd w:val="clear" w:color="auto" w:fill="FFE6E6" w:themeFill="accent2" w:themeFillTint="19"/>
    </w:tcPr>
    <w:tblStylePr w:type="firstRow">
      <w:rPr>
        <w:b/>
        <w:bCs/>
        <w:color w:val="FFFFFF" w:themeColor="background1"/>
      </w:rPr>
      <w:tblPr/>
      <w:tcPr>
        <w:tcBorders>
          <w:bottom w:val="single" w:sz="12" w:space="0" w:color="FFFFFF" w:themeColor="background1"/>
        </w:tcBorders>
        <w:shd w:val="clear" w:color="auto" w:fill="CC0000" w:themeFill="accent2" w:themeFillShade="CC"/>
      </w:tcPr>
    </w:tblStylePr>
    <w:tblStylePr w:type="lastRow">
      <w:rPr>
        <w:b/>
        <w:bCs/>
        <w:color w:val="CC000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C0C0" w:themeFill="accent2" w:themeFillTint="3F"/>
      </w:tcPr>
    </w:tblStylePr>
    <w:tblStylePr w:type="band1Horz">
      <w:tblPr/>
      <w:tcPr>
        <w:shd w:val="clear" w:color="auto" w:fill="FFCCCC" w:themeFill="accent2" w:themeFillTint="33"/>
      </w:tcPr>
    </w:tblStylePr>
  </w:style>
  <w:style w:type="table" w:styleId="ColorfulList-Accent3">
    <w:name w:val="Colorful List Accent 3"/>
    <w:basedOn w:val="TableNormal"/>
    <w:uiPriority w:val="72"/>
    <w:semiHidden/>
    <w:unhideWhenUsed/>
    <w:pPr>
      <w:spacing w:before="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pPr>
      <w:spacing w:before="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semiHidden/>
    <w:unhideWhenUsed/>
    <w:pPr>
      <w:spacing w:before="0" w:line="240" w:lineRule="auto"/>
    </w:pPr>
    <w:rPr>
      <w:color w:val="000000" w:themeColor="text1"/>
    </w:rPr>
    <w:tblPr>
      <w:tblStyleRowBandSize w:val="1"/>
      <w:tblStyleColBandSize w:val="1"/>
    </w:tblPr>
    <w:tcPr>
      <w:shd w:val="clear" w:color="auto" w:fill="E6EDF8"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2D3EE" w:themeFill="accent5" w:themeFillTint="3F"/>
      </w:tcPr>
    </w:tblStylePr>
    <w:tblStylePr w:type="band1Horz">
      <w:tblPr/>
      <w:tcPr>
        <w:shd w:val="clear" w:color="auto" w:fill="CEDBF1" w:themeFill="accent5" w:themeFillTint="33"/>
      </w:tcPr>
    </w:tblStylePr>
  </w:style>
  <w:style w:type="table" w:styleId="ColorfulList-Accent6">
    <w:name w:val="Colorful List Accent 6"/>
    <w:basedOn w:val="TableNormal"/>
    <w:uiPriority w:val="72"/>
    <w:semiHidden/>
    <w:unhideWhenUsed/>
    <w:pPr>
      <w:spacing w:before="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22457A" w:themeFill="accent5" w:themeFillShade="CC"/>
      </w:tcPr>
    </w:tblStylePr>
    <w:tblStylePr w:type="lastRow">
      <w:rPr>
        <w:b/>
        <w:bCs/>
        <w:color w:val="22457A"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Shading">
    <w:name w:val="Colorful Shading"/>
    <w:basedOn w:val="TableNormal"/>
    <w:uiPriority w:val="71"/>
    <w:semiHidden/>
    <w:unhideWhenUsed/>
    <w:pPr>
      <w:spacing w:before="0" w:line="240" w:lineRule="auto"/>
    </w:pPr>
    <w:rPr>
      <w:color w:val="000000" w:themeColor="text1"/>
    </w:rPr>
    <w:tblPr>
      <w:tblStyleRowBandSize w:val="1"/>
      <w:tblStyleColBandSize w:val="1"/>
      <w:tblBorders>
        <w:top w:val="single" w:sz="24" w:space="0" w:color="FF000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FF000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pPr>
      <w:spacing w:before="0" w:line="240" w:lineRule="auto"/>
    </w:pPr>
    <w:rPr>
      <w:color w:val="000000" w:themeColor="text1"/>
    </w:rPr>
    <w:tblPr>
      <w:tblStyleRowBandSize w:val="1"/>
      <w:tblStyleColBandSize w:val="1"/>
      <w:tblBorders>
        <w:top w:val="single" w:sz="24" w:space="0" w:color="FF0000"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FF000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pPr>
      <w:spacing w:before="0" w:line="240" w:lineRule="auto"/>
    </w:pPr>
    <w:rPr>
      <w:color w:val="000000" w:themeColor="text1"/>
    </w:rPr>
    <w:tblPr>
      <w:tblStyleRowBandSize w:val="1"/>
      <w:tblStyleColBandSize w:val="1"/>
      <w:tblBorders>
        <w:top w:val="single" w:sz="24" w:space="0" w:color="FF0000" w:themeColor="accent2"/>
        <w:left w:val="single" w:sz="4" w:space="0" w:color="FF0000" w:themeColor="accent2"/>
        <w:bottom w:val="single" w:sz="4" w:space="0" w:color="FF0000" w:themeColor="accent2"/>
        <w:right w:val="single" w:sz="4" w:space="0" w:color="FF0000" w:themeColor="accent2"/>
        <w:insideH w:val="single" w:sz="4" w:space="0" w:color="FFFFFF" w:themeColor="background1"/>
        <w:insideV w:val="single" w:sz="4" w:space="0" w:color="FFFFFF" w:themeColor="background1"/>
      </w:tblBorders>
    </w:tblPr>
    <w:tcPr>
      <w:shd w:val="clear" w:color="auto" w:fill="FFE6E6" w:themeFill="accent2" w:themeFillTint="19"/>
    </w:tcPr>
    <w:tblStylePr w:type="firstRow">
      <w:rPr>
        <w:b/>
        <w:bCs/>
      </w:rPr>
      <w:tblPr/>
      <w:tcPr>
        <w:tcBorders>
          <w:top w:val="nil"/>
          <w:left w:val="nil"/>
          <w:bottom w:val="single" w:sz="24" w:space="0" w:color="FF000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0000" w:themeFill="accent2" w:themeFillShade="99"/>
      </w:tcPr>
    </w:tblStylePr>
    <w:tblStylePr w:type="firstCol">
      <w:rPr>
        <w:color w:val="FFFFFF" w:themeColor="background1"/>
      </w:rPr>
      <w:tblPr/>
      <w:tcPr>
        <w:tcBorders>
          <w:top w:val="nil"/>
          <w:left w:val="nil"/>
          <w:bottom w:val="nil"/>
          <w:right w:val="nil"/>
          <w:insideH w:val="single" w:sz="4" w:space="0" w:color="990000" w:themeColor="accent2" w:themeShade="99"/>
          <w:insideV w:val="nil"/>
        </w:tcBorders>
        <w:shd w:val="clear" w:color="auto" w:fill="99000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0000" w:themeFill="accent2" w:themeFillShade="99"/>
      </w:tcPr>
    </w:tblStylePr>
    <w:tblStylePr w:type="band1Vert">
      <w:tblPr/>
      <w:tcPr>
        <w:shd w:val="clear" w:color="auto" w:fill="FF9999" w:themeFill="accent2" w:themeFillTint="66"/>
      </w:tcPr>
    </w:tblStylePr>
    <w:tblStylePr w:type="band1Horz">
      <w:tblPr/>
      <w:tcPr>
        <w:shd w:val="clear" w:color="auto" w:fill="FF8080"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pPr>
      <w:spacing w:before="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pPr>
      <w:spacing w:before="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pPr>
      <w:spacing w:before="0" w:line="240" w:lineRule="auto"/>
    </w:pPr>
    <w:rPr>
      <w:color w:val="000000" w:themeColor="text1"/>
    </w:rPr>
    <w:tblPr>
      <w:tblStyleRowBandSize w:val="1"/>
      <w:tblStyleColBandSize w:val="1"/>
      <w:tblBorders>
        <w:top w:val="single" w:sz="24" w:space="0" w:color="70AD47" w:themeColor="accent6"/>
        <w:left w:val="single" w:sz="4" w:space="0" w:color="2B579A" w:themeColor="accent5"/>
        <w:bottom w:val="single" w:sz="4" w:space="0" w:color="2B579A" w:themeColor="accent5"/>
        <w:right w:val="single" w:sz="4" w:space="0" w:color="2B579A" w:themeColor="accent5"/>
        <w:insideH w:val="single" w:sz="4" w:space="0" w:color="FFFFFF" w:themeColor="background1"/>
        <w:insideV w:val="single" w:sz="4" w:space="0" w:color="FFFFFF" w:themeColor="background1"/>
      </w:tblBorders>
    </w:tblPr>
    <w:tcPr>
      <w:shd w:val="clear" w:color="auto" w:fill="E6EDF8"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9345C" w:themeFill="accent5" w:themeFillShade="99"/>
      </w:tcPr>
    </w:tblStylePr>
    <w:tblStylePr w:type="firstCol">
      <w:rPr>
        <w:color w:val="FFFFFF" w:themeColor="background1"/>
      </w:rPr>
      <w:tblPr/>
      <w:tcPr>
        <w:tcBorders>
          <w:top w:val="nil"/>
          <w:left w:val="nil"/>
          <w:bottom w:val="nil"/>
          <w:right w:val="nil"/>
          <w:insideH w:val="single" w:sz="4" w:space="0" w:color="19345C" w:themeColor="accent5" w:themeShade="99"/>
          <w:insideV w:val="nil"/>
        </w:tcBorders>
        <w:shd w:val="clear" w:color="auto" w:fill="19345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19345C" w:themeFill="accent5" w:themeFillShade="99"/>
      </w:tcPr>
    </w:tblStylePr>
    <w:tblStylePr w:type="band1Vert">
      <w:tblPr/>
      <w:tcPr>
        <w:shd w:val="clear" w:color="auto" w:fill="9DB8E3" w:themeFill="accent5" w:themeFillTint="66"/>
      </w:tcPr>
    </w:tblStylePr>
    <w:tblStylePr w:type="band1Horz">
      <w:tblPr/>
      <w:tcPr>
        <w:shd w:val="clear" w:color="auto" w:fill="85A7DD"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pPr>
      <w:spacing w:before="0" w:line="240" w:lineRule="auto"/>
    </w:pPr>
    <w:rPr>
      <w:color w:val="000000" w:themeColor="text1"/>
    </w:rPr>
    <w:tblPr>
      <w:tblStyleRowBandSize w:val="1"/>
      <w:tblStyleColBandSize w:val="1"/>
      <w:tblBorders>
        <w:top w:val="single" w:sz="24" w:space="0" w:color="2B579A"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2B579A"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pPr>
      <w:spacing w:before="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pPr>
      <w:spacing w:before="0" w:line="240" w:lineRule="auto"/>
    </w:pPr>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arkList-Accent2">
    <w:name w:val="Dark List Accent 2"/>
    <w:basedOn w:val="TableNormal"/>
    <w:uiPriority w:val="70"/>
    <w:semiHidden/>
    <w:unhideWhenUsed/>
    <w:pPr>
      <w:spacing w:before="0" w:line="240" w:lineRule="auto"/>
    </w:pPr>
    <w:rPr>
      <w:color w:val="FFFFFF" w:themeColor="background1"/>
    </w:rPr>
    <w:tblPr>
      <w:tblStyleRowBandSize w:val="1"/>
      <w:tblStyleColBandSize w:val="1"/>
    </w:tblPr>
    <w:tcPr>
      <w:shd w:val="clear" w:color="auto" w:fill="FF000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000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000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0000" w:themeFill="accent2" w:themeFillShade="BF"/>
      </w:tcPr>
    </w:tblStylePr>
    <w:tblStylePr w:type="band1Vert">
      <w:tblPr/>
      <w:tcPr>
        <w:tcBorders>
          <w:top w:val="nil"/>
          <w:left w:val="nil"/>
          <w:bottom w:val="nil"/>
          <w:right w:val="nil"/>
          <w:insideH w:val="nil"/>
          <w:insideV w:val="nil"/>
        </w:tcBorders>
        <w:shd w:val="clear" w:color="auto" w:fill="BF0000" w:themeFill="accent2" w:themeFillShade="BF"/>
      </w:tcPr>
    </w:tblStylePr>
    <w:tblStylePr w:type="band1Horz">
      <w:tblPr/>
      <w:tcPr>
        <w:tcBorders>
          <w:top w:val="nil"/>
          <w:left w:val="nil"/>
          <w:bottom w:val="nil"/>
          <w:right w:val="nil"/>
          <w:insideH w:val="nil"/>
          <w:insideV w:val="nil"/>
        </w:tcBorders>
        <w:shd w:val="clear" w:color="auto" w:fill="BF0000" w:themeFill="accent2" w:themeFillShade="BF"/>
      </w:tcPr>
    </w:tblStylePr>
  </w:style>
  <w:style w:type="table" w:styleId="DarkList-Accent3">
    <w:name w:val="Dark List Accent 3"/>
    <w:basedOn w:val="TableNormal"/>
    <w:uiPriority w:val="70"/>
    <w:semiHidden/>
    <w:unhideWhenUsed/>
    <w:pPr>
      <w:spacing w:before="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pPr>
      <w:spacing w:before="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semiHidden/>
    <w:unhideWhenUsed/>
    <w:pPr>
      <w:spacing w:before="0" w:line="240" w:lineRule="auto"/>
    </w:pPr>
    <w:rPr>
      <w:color w:val="FFFFFF" w:themeColor="background1"/>
    </w:rPr>
    <w:tblPr>
      <w:tblStyleRowBandSize w:val="1"/>
      <w:tblStyleColBandSize w:val="1"/>
    </w:tblPr>
    <w:tcPr>
      <w:shd w:val="clear" w:color="auto" w:fill="2B579A"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52B4C"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0417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04173" w:themeFill="accent5" w:themeFillShade="BF"/>
      </w:tcPr>
    </w:tblStylePr>
    <w:tblStylePr w:type="band1Vert">
      <w:tblPr/>
      <w:tcPr>
        <w:tcBorders>
          <w:top w:val="nil"/>
          <w:left w:val="nil"/>
          <w:bottom w:val="nil"/>
          <w:right w:val="nil"/>
          <w:insideH w:val="nil"/>
          <w:insideV w:val="nil"/>
        </w:tcBorders>
        <w:shd w:val="clear" w:color="auto" w:fill="204173" w:themeFill="accent5" w:themeFillShade="BF"/>
      </w:tcPr>
    </w:tblStylePr>
    <w:tblStylePr w:type="band1Horz">
      <w:tblPr/>
      <w:tcPr>
        <w:tcBorders>
          <w:top w:val="nil"/>
          <w:left w:val="nil"/>
          <w:bottom w:val="nil"/>
          <w:right w:val="nil"/>
          <w:insideH w:val="nil"/>
          <w:insideV w:val="nil"/>
        </w:tcBorders>
        <w:shd w:val="clear" w:color="auto" w:fill="204173" w:themeFill="accent5" w:themeFillShade="BF"/>
      </w:tcPr>
    </w:tblStylePr>
  </w:style>
  <w:style w:type="table" w:styleId="DarkList-Accent6">
    <w:name w:val="Dark List Accent 6"/>
    <w:basedOn w:val="TableNormal"/>
    <w:uiPriority w:val="70"/>
    <w:semiHidden/>
    <w:unhideWhenUsed/>
    <w:pPr>
      <w:spacing w:before="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style>
  <w:style w:type="paragraph" w:styleId="DocumentMap">
    <w:name w:val="Document Map"/>
    <w:basedOn w:val="Normal"/>
    <w:link w:val="DocumentMapChar"/>
    <w:uiPriority w:val="99"/>
    <w:semiHidden/>
    <w:unhideWhenUsed/>
    <w:pPr>
      <w:spacing w:before="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Pr>
      <w:rFonts w:ascii="Segoe UI" w:hAnsi="Segoe UI" w:cs="Segoe UI"/>
      <w:szCs w:val="16"/>
    </w:rPr>
  </w:style>
  <w:style w:type="paragraph" w:styleId="E-mailSignature">
    <w:name w:val="E-mail Signature"/>
    <w:basedOn w:val="Normal"/>
    <w:link w:val="E-mailSignatureChar"/>
    <w:uiPriority w:val="99"/>
    <w:semiHidden/>
    <w:unhideWhenUsed/>
    <w:pPr>
      <w:spacing w:before="0" w:line="240" w:lineRule="auto"/>
    </w:pPr>
  </w:style>
  <w:style w:type="character" w:customStyle="1" w:styleId="E-mailSignatureChar">
    <w:name w:val="E-mail Signature Char"/>
    <w:basedOn w:val="DefaultParagraphFont"/>
    <w:link w:val="E-mailSignature"/>
    <w:uiPriority w:val="99"/>
    <w:semiHidden/>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before="0" w:line="240" w:lineRule="auto"/>
    </w:pPr>
    <w:rPr>
      <w:szCs w:val="20"/>
    </w:rPr>
  </w:style>
  <w:style w:type="character" w:customStyle="1" w:styleId="EndnoteTextChar">
    <w:name w:val="Endnote Text Char"/>
    <w:basedOn w:val="DefaultParagraphFont"/>
    <w:link w:val="EndnoteText"/>
    <w:uiPriority w:val="99"/>
    <w:semiHidden/>
    <w:rPr>
      <w:szCs w:val="20"/>
    </w:rPr>
  </w:style>
  <w:style w:type="paragraph" w:styleId="EnvelopeAddress">
    <w:name w:val="envelope address"/>
    <w:basedOn w:val="Normal"/>
    <w:uiPriority w:val="99"/>
    <w:semiHidden/>
    <w:unhideWhenUsed/>
    <w:pPr>
      <w:framePr w:w="7920" w:h="1980" w:hRule="exact" w:hSpace="180" w:wrap="auto" w:hAnchor="page" w:xAlign="center" w:yAlign="bottom"/>
      <w:spacing w:before="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pPr>
      <w:spacing w:before="0" w:line="240" w:lineRule="auto"/>
    </w:pPr>
    <w:rPr>
      <w:rFonts w:asciiTheme="majorHAnsi" w:eastAsiaTheme="majorEastAsia" w:hAnsiTheme="majorHAnsi" w:cstheme="majorBidi"/>
      <w:szCs w:val="20"/>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before="0" w:line="240" w:lineRule="auto"/>
    </w:pPr>
    <w:rPr>
      <w:szCs w:val="20"/>
    </w:rPr>
  </w:style>
  <w:style w:type="character" w:customStyle="1" w:styleId="FootnoteTextChar">
    <w:name w:val="Footnote Text Char"/>
    <w:basedOn w:val="DefaultParagraphFont"/>
    <w:link w:val="FootnoteText"/>
    <w:uiPriority w:val="99"/>
    <w:semiHidden/>
    <w:rPr>
      <w:szCs w:val="20"/>
    </w:rPr>
  </w:style>
  <w:style w:type="table" w:styleId="GridTable1Light-Accent2">
    <w:name w:val="Grid Table 1 Light Accent 2"/>
    <w:basedOn w:val="TableNormal"/>
    <w:uiPriority w:val="46"/>
    <w:pPr>
      <w:spacing w:line="240" w:lineRule="auto"/>
    </w:pPr>
    <w:tblPr>
      <w:tblStyleRowBandSize w:val="1"/>
      <w:tblStyleColBandSize w:val="1"/>
      <w:tblBorders>
        <w:top w:val="single" w:sz="4" w:space="0" w:color="FF9999" w:themeColor="accent2" w:themeTint="66"/>
        <w:left w:val="single" w:sz="4" w:space="0" w:color="FF9999" w:themeColor="accent2" w:themeTint="66"/>
        <w:bottom w:val="single" w:sz="4" w:space="0" w:color="FF9999" w:themeColor="accent2" w:themeTint="66"/>
        <w:right w:val="single" w:sz="4" w:space="0" w:color="FF9999" w:themeColor="accent2" w:themeTint="66"/>
        <w:insideH w:val="single" w:sz="4" w:space="0" w:color="FF9999" w:themeColor="accent2" w:themeTint="66"/>
        <w:insideV w:val="single" w:sz="4" w:space="0" w:color="FF9999" w:themeColor="accent2" w:themeTint="66"/>
      </w:tblBorders>
    </w:tblPr>
    <w:tblStylePr w:type="firstRow">
      <w:rPr>
        <w:b/>
        <w:bCs/>
      </w:rPr>
      <w:tblPr/>
      <w:tcPr>
        <w:tcBorders>
          <w:bottom w:val="single" w:sz="12" w:space="0" w:color="FF6666" w:themeColor="accent2" w:themeTint="99"/>
        </w:tcBorders>
      </w:tcPr>
    </w:tblStylePr>
    <w:tblStylePr w:type="lastRow">
      <w:rPr>
        <w:b/>
        <w:bCs/>
      </w:rPr>
      <w:tblPr/>
      <w:tcPr>
        <w:tcBorders>
          <w:top w:val="double" w:sz="2" w:space="0" w:color="FF6666"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pPr>
      <w:spacing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pPr>
      <w:spacing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pPr>
      <w:spacing w:line="240" w:lineRule="auto"/>
    </w:pPr>
    <w:tblPr>
      <w:tblStyleRowBandSize w:val="1"/>
      <w:tblStyleColBandSize w:val="1"/>
      <w:tblBorders>
        <w:top w:val="single" w:sz="4" w:space="0" w:color="9DB8E3" w:themeColor="accent5" w:themeTint="66"/>
        <w:left w:val="single" w:sz="4" w:space="0" w:color="9DB8E3" w:themeColor="accent5" w:themeTint="66"/>
        <w:bottom w:val="single" w:sz="4" w:space="0" w:color="9DB8E3" w:themeColor="accent5" w:themeTint="66"/>
        <w:right w:val="single" w:sz="4" w:space="0" w:color="9DB8E3" w:themeColor="accent5" w:themeTint="66"/>
        <w:insideH w:val="single" w:sz="4" w:space="0" w:color="9DB8E3" w:themeColor="accent5" w:themeTint="66"/>
        <w:insideV w:val="single" w:sz="4" w:space="0" w:color="9DB8E3" w:themeColor="accent5" w:themeTint="66"/>
      </w:tblBorders>
    </w:tblPr>
    <w:tblStylePr w:type="firstRow">
      <w:rPr>
        <w:b/>
        <w:bCs/>
      </w:rPr>
      <w:tblPr/>
      <w:tcPr>
        <w:tcBorders>
          <w:bottom w:val="single" w:sz="12" w:space="0" w:color="6C95D6" w:themeColor="accent5" w:themeTint="99"/>
        </w:tcBorders>
      </w:tcPr>
    </w:tblStylePr>
    <w:tblStylePr w:type="lastRow">
      <w:rPr>
        <w:b/>
        <w:bCs/>
      </w:rPr>
      <w:tblPr/>
      <w:tcPr>
        <w:tcBorders>
          <w:top w:val="double" w:sz="2" w:space="0" w:color="6C95D6" w:themeColor="accent5" w:themeTint="99"/>
        </w:tcBorders>
      </w:tcPr>
    </w:tblStylePr>
    <w:tblStylePr w:type="firstCol">
      <w:rPr>
        <w:b/>
        <w:bCs/>
      </w:rPr>
    </w:tblStylePr>
    <w:tblStylePr w:type="lastCol">
      <w:rPr>
        <w:b/>
        <w:bCs/>
      </w:rPr>
    </w:tblStylePr>
  </w:style>
  <w:style w:type="table" w:styleId="GridTable2">
    <w:name w:val="Grid Table 2"/>
    <w:basedOn w:val="TableNormal"/>
    <w:uiPriority w:val="47"/>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pPr>
      <w:spacing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2-Accent2">
    <w:name w:val="Grid Table 2 Accent 2"/>
    <w:basedOn w:val="TableNormal"/>
    <w:uiPriority w:val="47"/>
    <w:pPr>
      <w:spacing w:line="240" w:lineRule="auto"/>
    </w:pPr>
    <w:tblPr>
      <w:tblStyleRowBandSize w:val="1"/>
      <w:tblStyleColBandSize w:val="1"/>
      <w:tblBorders>
        <w:top w:val="single" w:sz="2" w:space="0" w:color="FF6666" w:themeColor="accent2" w:themeTint="99"/>
        <w:bottom w:val="single" w:sz="2" w:space="0" w:color="FF6666" w:themeColor="accent2" w:themeTint="99"/>
        <w:insideH w:val="single" w:sz="2" w:space="0" w:color="FF6666" w:themeColor="accent2" w:themeTint="99"/>
        <w:insideV w:val="single" w:sz="2" w:space="0" w:color="FF6666" w:themeColor="accent2" w:themeTint="99"/>
      </w:tblBorders>
    </w:tblPr>
    <w:tblStylePr w:type="firstRow">
      <w:rPr>
        <w:b/>
        <w:bCs/>
      </w:rPr>
      <w:tblPr/>
      <w:tcPr>
        <w:tcBorders>
          <w:top w:val="nil"/>
          <w:bottom w:val="single" w:sz="12" w:space="0" w:color="FF6666" w:themeColor="accent2" w:themeTint="99"/>
          <w:insideH w:val="nil"/>
          <w:insideV w:val="nil"/>
        </w:tcBorders>
        <w:shd w:val="clear" w:color="auto" w:fill="FFFFFF" w:themeFill="background1"/>
      </w:tcPr>
    </w:tblStylePr>
    <w:tblStylePr w:type="lastRow">
      <w:rPr>
        <w:b/>
        <w:bCs/>
      </w:rPr>
      <w:tblPr/>
      <w:tcPr>
        <w:tcBorders>
          <w:top w:val="double" w:sz="2" w:space="0" w:color="FF6666"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CCCC" w:themeFill="accent2" w:themeFillTint="33"/>
      </w:tcPr>
    </w:tblStylePr>
    <w:tblStylePr w:type="band1Horz">
      <w:tblPr/>
      <w:tcPr>
        <w:shd w:val="clear" w:color="auto" w:fill="FFCCCC" w:themeFill="accent2" w:themeFillTint="33"/>
      </w:tcPr>
    </w:tblStylePr>
  </w:style>
  <w:style w:type="table" w:styleId="GridTable2-Accent3">
    <w:name w:val="Grid Table 2 Accent 3"/>
    <w:basedOn w:val="TableNormal"/>
    <w:uiPriority w:val="47"/>
    <w:pPr>
      <w:spacing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pPr>
      <w:spacing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5">
    <w:name w:val="Grid Table 2 Accent 5"/>
    <w:basedOn w:val="TableNormal"/>
    <w:uiPriority w:val="47"/>
    <w:pPr>
      <w:spacing w:line="240" w:lineRule="auto"/>
    </w:pPr>
    <w:tblPr>
      <w:tblStyleRowBandSize w:val="1"/>
      <w:tblStyleColBandSize w:val="1"/>
      <w:tblBorders>
        <w:top w:val="single" w:sz="2" w:space="0" w:color="6C95D6" w:themeColor="accent5" w:themeTint="99"/>
        <w:bottom w:val="single" w:sz="2" w:space="0" w:color="6C95D6" w:themeColor="accent5" w:themeTint="99"/>
        <w:insideH w:val="single" w:sz="2" w:space="0" w:color="6C95D6" w:themeColor="accent5" w:themeTint="99"/>
        <w:insideV w:val="single" w:sz="2" w:space="0" w:color="6C95D6" w:themeColor="accent5" w:themeTint="99"/>
      </w:tblBorders>
    </w:tblPr>
    <w:tblStylePr w:type="firstRow">
      <w:rPr>
        <w:b/>
        <w:bCs/>
      </w:rPr>
      <w:tblPr/>
      <w:tcPr>
        <w:tcBorders>
          <w:top w:val="nil"/>
          <w:bottom w:val="single" w:sz="12" w:space="0" w:color="6C95D6" w:themeColor="accent5" w:themeTint="99"/>
          <w:insideH w:val="nil"/>
          <w:insideV w:val="nil"/>
        </w:tcBorders>
        <w:shd w:val="clear" w:color="auto" w:fill="FFFFFF" w:themeFill="background1"/>
      </w:tcPr>
    </w:tblStylePr>
    <w:tblStylePr w:type="lastRow">
      <w:rPr>
        <w:b/>
        <w:bCs/>
      </w:rPr>
      <w:tblPr/>
      <w:tcPr>
        <w:tcBorders>
          <w:top w:val="double" w:sz="2" w:space="0" w:color="6C95D6"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EDBF1" w:themeFill="accent5" w:themeFillTint="33"/>
      </w:tcPr>
    </w:tblStylePr>
    <w:tblStylePr w:type="band1Horz">
      <w:tblPr/>
      <w:tcPr>
        <w:shd w:val="clear" w:color="auto" w:fill="CEDBF1" w:themeFill="accent5" w:themeFillTint="33"/>
      </w:tcPr>
    </w:tblStylePr>
  </w:style>
  <w:style w:type="table" w:styleId="GridTable2-Accent6">
    <w:name w:val="Grid Table 2 Accent 6"/>
    <w:basedOn w:val="TableNormal"/>
    <w:uiPriority w:val="47"/>
    <w:pPr>
      <w:spacing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pPr>
      <w:spacing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3-Accent2">
    <w:name w:val="Grid Table 3 Accent 2"/>
    <w:basedOn w:val="TableNormal"/>
    <w:uiPriority w:val="48"/>
    <w:pPr>
      <w:spacing w:line="240" w:lineRule="auto"/>
    </w:pPr>
    <w:tblPr>
      <w:tblStyleRowBandSize w:val="1"/>
      <w:tblStyleColBandSize w:val="1"/>
      <w:tblBorders>
        <w:top w:val="single" w:sz="4" w:space="0" w:color="FF6666" w:themeColor="accent2" w:themeTint="99"/>
        <w:left w:val="single" w:sz="4" w:space="0" w:color="FF6666" w:themeColor="accent2" w:themeTint="99"/>
        <w:bottom w:val="single" w:sz="4" w:space="0" w:color="FF6666" w:themeColor="accent2" w:themeTint="99"/>
        <w:right w:val="single" w:sz="4" w:space="0" w:color="FF6666" w:themeColor="accent2" w:themeTint="99"/>
        <w:insideH w:val="single" w:sz="4" w:space="0" w:color="FF6666" w:themeColor="accent2" w:themeTint="99"/>
        <w:insideV w:val="single" w:sz="4" w:space="0" w:color="FF6666"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CCCC" w:themeFill="accent2" w:themeFillTint="33"/>
      </w:tcPr>
    </w:tblStylePr>
    <w:tblStylePr w:type="band1Horz">
      <w:tblPr/>
      <w:tcPr>
        <w:shd w:val="clear" w:color="auto" w:fill="FFCCCC" w:themeFill="accent2" w:themeFillTint="33"/>
      </w:tcPr>
    </w:tblStylePr>
    <w:tblStylePr w:type="neCell">
      <w:tblPr/>
      <w:tcPr>
        <w:tcBorders>
          <w:bottom w:val="single" w:sz="4" w:space="0" w:color="FF6666" w:themeColor="accent2" w:themeTint="99"/>
        </w:tcBorders>
      </w:tcPr>
    </w:tblStylePr>
    <w:tblStylePr w:type="nwCell">
      <w:tblPr/>
      <w:tcPr>
        <w:tcBorders>
          <w:bottom w:val="single" w:sz="4" w:space="0" w:color="FF6666" w:themeColor="accent2" w:themeTint="99"/>
        </w:tcBorders>
      </w:tcPr>
    </w:tblStylePr>
    <w:tblStylePr w:type="seCell">
      <w:tblPr/>
      <w:tcPr>
        <w:tcBorders>
          <w:top w:val="single" w:sz="4" w:space="0" w:color="FF6666" w:themeColor="accent2" w:themeTint="99"/>
        </w:tcBorders>
      </w:tcPr>
    </w:tblStylePr>
    <w:tblStylePr w:type="swCell">
      <w:tblPr/>
      <w:tcPr>
        <w:tcBorders>
          <w:top w:val="single" w:sz="4" w:space="0" w:color="FF6666" w:themeColor="accent2" w:themeTint="99"/>
        </w:tcBorders>
      </w:tcPr>
    </w:tblStylePr>
  </w:style>
  <w:style w:type="table" w:styleId="GridTable3-Accent3">
    <w:name w:val="Grid Table 3 Accent 3"/>
    <w:basedOn w:val="TableNormal"/>
    <w:uiPriority w:val="48"/>
    <w:pPr>
      <w:spacing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pPr>
      <w:spacing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5">
    <w:name w:val="Grid Table 3 Accent 5"/>
    <w:basedOn w:val="TableNormal"/>
    <w:uiPriority w:val="48"/>
    <w:pPr>
      <w:spacing w:line="240" w:lineRule="auto"/>
    </w:pPr>
    <w:tblPr>
      <w:tblStyleRowBandSize w:val="1"/>
      <w:tblStyleColBandSize w:val="1"/>
      <w:tblBorders>
        <w:top w:val="single" w:sz="4" w:space="0" w:color="6C95D6" w:themeColor="accent5" w:themeTint="99"/>
        <w:left w:val="single" w:sz="4" w:space="0" w:color="6C95D6" w:themeColor="accent5" w:themeTint="99"/>
        <w:bottom w:val="single" w:sz="4" w:space="0" w:color="6C95D6" w:themeColor="accent5" w:themeTint="99"/>
        <w:right w:val="single" w:sz="4" w:space="0" w:color="6C95D6" w:themeColor="accent5" w:themeTint="99"/>
        <w:insideH w:val="single" w:sz="4" w:space="0" w:color="6C95D6" w:themeColor="accent5" w:themeTint="99"/>
        <w:insideV w:val="single" w:sz="4" w:space="0" w:color="6C95D6"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EDBF1" w:themeFill="accent5" w:themeFillTint="33"/>
      </w:tcPr>
    </w:tblStylePr>
    <w:tblStylePr w:type="band1Horz">
      <w:tblPr/>
      <w:tcPr>
        <w:shd w:val="clear" w:color="auto" w:fill="CEDBF1" w:themeFill="accent5" w:themeFillTint="33"/>
      </w:tcPr>
    </w:tblStylePr>
    <w:tblStylePr w:type="neCell">
      <w:tblPr/>
      <w:tcPr>
        <w:tcBorders>
          <w:bottom w:val="single" w:sz="4" w:space="0" w:color="6C95D6" w:themeColor="accent5" w:themeTint="99"/>
        </w:tcBorders>
      </w:tcPr>
    </w:tblStylePr>
    <w:tblStylePr w:type="nwCell">
      <w:tblPr/>
      <w:tcPr>
        <w:tcBorders>
          <w:bottom w:val="single" w:sz="4" w:space="0" w:color="6C95D6" w:themeColor="accent5" w:themeTint="99"/>
        </w:tcBorders>
      </w:tcPr>
    </w:tblStylePr>
    <w:tblStylePr w:type="seCell">
      <w:tblPr/>
      <w:tcPr>
        <w:tcBorders>
          <w:top w:val="single" w:sz="4" w:space="0" w:color="6C95D6" w:themeColor="accent5" w:themeTint="99"/>
        </w:tcBorders>
      </w:tcPr>
    </w:tblStylePr>
    <w:tblStylePr w:type="swCell">
      <w:tblPr/>
      <w:tcPr>
        <w:tcBorders>
          <w:top w:val="single" w:sz="4" w:space="0" w:color="6C95D6" w:themeColor="accent5" w:themeTint="99"/>
        </w:tcBorders>
      </w:tcPr>
    </w:tblStylePr>
  </w:style>
  <w:style w:type="table" w:styleId="GridTable3-Accent6">
    <w:name w:val="Grid Table 3 Accent 6"/>
    <w:basedOn w:val="TableNormal"/>
    <w:uiPriority w:val="48"/>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Accent1">
    <w:name w:val="Grid Table 4 Accent 1"/>
    <w:basedOn w:val="TableNormal"/>
    <w:uiPriority w:val="49"/>
    <w:pPr>
      <w:spacing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4-Accent2">
    <w:name w:val="Grid Table 4 Accent 2"/>
    <w:basedOn w:val="TableNormal"/>
    <w:uiPriority w:val="49"/>
    <w:pPr>
      <w:spacing w:line="240" w:lineRule="auto"/>
    </w:pPr>
    <w:tblPr>
      <w:tblStyleRowBandSize w:val="1"/>
      <w:tblStyleColBandSize w:val="1"/>
      <w:tblBorders>
        <w:top w:val="single" w:sz="4" w:space="0" w:color="FF6666" w:themeColor="accent2" w:themeTint="99"/>
        <w:left w:val="single" w:sz="4" w:space="0" w:color="FF6666" w:themeColor="accent2" w:themeTint="99"/>
        <w:bottom w:val="single" w:sz="4" w:space="0" w:color="FF6666" w:themeColor="accent2" w:themeTint="99"/>
        <w:right w:val="single" w:sz="4" w:space="0" w:color="FF6666" w:themeColor="accent2" w:themeTint="99"/>
        <w:insideH w:val="single" w:sz="4" w:space="0" w:color="FF6666" w:themeColor="accent2" w:themeTint="99"/>
        <w:insideV w:val="single" w:sz="4" w:space="0" w:color="FF6666" w:themeColor="accent2" w:themeTint="99"/>
      </w:tblBorders>
    </w:tblPr>
    <w:tblStylePr w:type="firstRow">
      <w:rPr>
        <w:b/>
        <w:bCs/>
        <w:color w:val="FFFFFF" w:themeColor="background1"/>
      </w:rPr>
      <w:tblPr/>
      <w:tcPr>
        <w:tcBorders>
          <w:top w:val="single" w:sz="4" w:space="0" w:color="FF0000" w:themeColor="accent2"/>
          <w:left w:val="single" w:sz="4" w:space="0" w:color="FF0000" w:themeColor="accent2"/>
          <w:bottom w:val="single" w:sz="4" w:space="0" w:color="FF0000" w:themeColor="accent2"/>
          <w:right w:val="single" w:sz="4" w:space="0" w:color="FF0000" w:themeColor="accent2"/>
          <w:insideH w:val="nil"/>
          <w:insideV w:val="nil"/>
        </w:tcBorders>
        <w:shd w:val="clear" w:color="auto" w:fill="FF0000" w:themeFill="accent2"/>
      </w:tcPr>
    </w:tblStylePr>
    <w:tblStylePr w:type="lastRow">
      <w:rPr>
        <w:b/>
        <w:bCs/>
      </w:rPr>
      <w:tblPr/>
      <w:tcPr>
        <w:tcBorders>
          <w:top w:val="double" w:sz="4" w:space="0" w:color="FF0000" w:themeColor="accent2"/>
        </w:tcBorders>
      </w:tcPr>
    </w:tblStylePr>
    <w:tblStylePr w:type="firstCol">
      <w:rPr>
        <w:b/>
        <w:bCs/>
      </w:rPr>
    </w:tblStylePr>
    <w:tblStylePr w:type="lastCol">
      <w:rPr>
        <w:b/>
        <w:bCs/>
      </w:rPr>
    </w:tblStylePr>
    <w:tblStylePr w:type="band1Vert">
      <w:tblPr/>
      <w:tcPr>
        <w:shd w:val="clear" w:color="auto" w:fill="FFCCCC" w:themeFill="accent2" w:themeFillTint="33"/>
      </w:tcPr>
    </w:tblStylePr>
    <w:tblStylePr w:type="band1Horz">
      <w:tblPr/>
      <w:tcPr>
        <w:shd w:val="clear" w:color="auto" w:fill="FFCCCC" w:themeFill="accent2" w:themeFillTint="33"/>
      </w:tcPr>
    </w:tblStylePr>
  </w:style>
  <w:style w:type="table" w:styleId="GridTable4-Accent3">
    <w:name w:val="Grid Table 4 Accent 3"/>
    <w:basedOn w:val="TableNormal"/>
    <w:uiPriority w:val="49"/>
    <w:pPr>
      <w:spacing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pPr>
      <w:spacing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6">
    <w:name w:val="Grid Table 4 Accent 6"/>
    <w:basedOn w:val="TableNormal"/>
    <w:uiPriority w:val="49"/>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Accent1">
    <w:name w:val="Grid Table 5 Dark Accent 1"/>
    <w:basedOn w:val="TableNormal"/>
    <w:uiPriority w:val="50"/>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GridTable5Dark-Accent2">
    <w:name w:val="Grid Table 5 Dark Accent 2"/>
    <w:basedOn w:val="TableNormal"/>
    <w:uiPriority w:val="50"/>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CCCC"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0000"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0000"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0000"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0000" w:themeFill="accent2"/>
      </w:tcPr>
    </w:tblStylePr>
    <w:tblStylePr w:type="band1Vert">
      <w:tblPr/>
      <w:tcPr>
        <w:shd w:val="clear" w:color="auto" w:fill="FF9999" w:themeFill="accent2" w:themeFillTint="66"/>
      </w:tcPr>
    </w:tblStylePr>
    <w:tblStylePr w:type="band1Horz">
      <w:tblPr/>
      <w:tcPr>
        <w:shd w:val="clear" w:color="auto" w:fill="FF9999" w:themeFill="accent2" w:themeFillTint="66"/>
      </w:tcPr>
    </w:tblStylePr>
  </w:style>
  <w:style w:type="table" w:styleId="GridTable5Dark-Accent3">
    <w:name w:val="Grid Table 5 Dark Accent 3"/>
    <w:basedOn w:val="TableNormal"/>
    <w:uiPriority w:val="50"/>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5Dark-Accent5">
    <w:name w:val="Grid Table 5 Dark Accent 5"/>
    <w:basedOn w:val="TableNormal"/>
    <w:uiPriority w:val="50"/>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EDBF1"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B579A"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B579A"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B579A"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B579A" w:themeFill="accent5"/>
      </w:tcPr>
    </w:tblStylePr>
    <w:tblStylePr w:type="band1Vert">
      <w:tblPr/>
      <w:tcPr>
        <w:shd w:val="clear" w:color="auto" w:fill="9DB8E3" w:themeFill="accent5" w:themeFillTint="66"/>
      </w:tcPr>
    </w:tblStylePr>
    <w:tblStylePr w:type="band1Horz">
      <w:tblPr/>
      <w:tcPr>
        <w:shd w:val="clear" w:color="auto" w:fill="9DB8E3" w:themeFill="accent5" w:themeFillTint="66"/>
      </w:tcPr>
    </w:tblStylePr>
  </w:style>
  <w:style w:type="table" w:styleId="GridTable5Dark-Accent6">
    <w:name w:val="Grid Table 5 Dark Accent 6"/>
    <w:basedOn w:val="TableNormal"/>
    <w:uiPriority w:val="50"/>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pPr>
      <w:spacing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6Colorful-Accent2">
    <w:name w:val="Grid Table 6 Colorful Accent 2"/>
    <w:basedOn w:val="TableNormal"/>
    <w:uiPriority w:val="51"/>
    <w:pPr>
      <w:spacing w:line="240" w:lineRule="auto"/>
    </w:pPr>
    <w:rPr>
      <w:color w:val="BF0000" w:themeColor="accent2" w:themeShade="BF"/>
    </w:rPr>
    <w:tblPr>
      <w:tblStyleRowBandSize w:val="1"/>
      <w:tblStyleColBandSize w:val="1"/>
      <w:tblBorders>
        <w:top w:val="single" w:sz="4" w:space="0" w:color="FF6666" w:themeColor="accent2" w:themeTint="99"/>
        <w:left w:val="single" w:sz="4" w:space="0" w:color="FF6666" w:themeColor="accent2" w:themeTint="99"/>
        <w:bottom w:val="single" w:sz="4" w:space="0" w:color="FF6666" w:themeColor="accent2" w:themeTint="99"/>
        <w:right w:val="single" w:sz="4" w:space="0" w:color="FF6666" w:themeColor="accent2" w:themeTint="99"/>
        <w:insideH w:val="single" w:sz="4" w:space="0" w:color="FF6666" w:themeColor="accent2" w:themeTint="99"/>
        <w:insideV w:val="single" w:sz="4" w:space="0" w:color="FF6666" w:themeColor="accent2" w:themeTint="99"/>
      </w:tblBorders>
    </w:tblPr>
    <w:tblStylePr w:type="firstRow">
      <w:rPr>
        <w:b/>
        <w:bCs/>
      </w:rPr>
      <w:tblPr/>
      <w:tcPr>
        <w:tcBorders>
          <w:bottom w:val="single" w:sz="12" w:space="0" w:color="FF6666" w:themeColor="accent2" w:themeTint="99"/>
        </w:tcBorders>
      </w:tcPr>
    </w:tblStylePr>
    <w:tblStylePr w:type="lastRow">
      <w:rPr>
        <w:b/>
        <w:bCs/>
      </w:rPr>
      <w:tblPr/>
      <w:tcPr>
        <w:tcBorders>
          <w:top w:val="double" w:sz="4" w:space="0" w:color="FF6666" w:themeColor="accent2" w:themeTint="99"/>
        </w:tcBorders>
      </w:tcPr>
    </w:tblStylePr>
    <w:tblStylePr w:type="firstCol">
      <w:rPr>
        <w:b/>
        <w:bCs/>
      </w:rPr>
    </w:tblStylePr>
    <w:tblStylePr w:type="lastCol">
      <w:rPr>
        <w:b/>
        <w:bCs/>
      </w:rPr>
    </w:tblStylePr>
    <w:tblStylePr w:type="band1Vert">
      <w:tblPr/>
      <w:tcPr>
        <w:shd w:val="clear" w:color="auto" w:fill="FFCCCC" w:themeFill="accent2" w:themeFillTint="33"/>
      </w:tcPr>
    </w:tblStylePr>
    <w:tblStylePr w:type="band1Horz">
      <w:tblPr/>
      <w:tcPr>
        <w:shd w:val="clear" w:color="auto" w:fill="FFCCCC" w:themeFill="accent2" w:themeFillTint="33"/>
      </w:tcPr>
    </w:tblStylePr>
  </w:style>
  <w:style w:type="table" w:styleId="GridTable6Colorful-Accent3">
    <w:name w:val="Grid Table 6 Colorful Accent 3"/>
    <w:basedOn w:val="TableNormal"/>
    <w:uiPriority w:val="51"/>
    <w:pPr>
      <w:spacing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pPr>
      <w:spacing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6Colorful-Accent5">
    <w:name w:val="Grid Table 6 Colorful Accent 5"/>
    <w:basedOn w:val="TableNormal"/>
    <w:uiPriority w:val="51"/>
    <w:pPr>
      <w:spacing w:line="240" w:lineRule="auto"/>
    </w:pPr>
    <w:rPr>
      <w:color w:val="204173" w:themeColor="accent5" w:themeShade="BF"/>
    </w:rPr>
    <w:tblPr>
      <w:tblStyleRowBandSize w:val="1"/>
      <w:tblStyleColBandSize w:val="1"/>
      <w:tblBorders>
        <w:top w:val="single" w:sz="4" w:space="0" w:color="6C95D6" w:themeColor="accent5" w:themeTint="99"/>
        <w:left w:val="single" w:sz="4" w:space="0" w:color="6C95D6" w:themeColor="accent5" w:themeTint="99"/>
        <w:bottom w:val="single" w:sz="4" w:space="0" w:color="6C95D6" w:themeColor="accent5" w:themeTint="99"/>
        <w:right w:val="single" w:sz="4" w:space="0" w:color="6C95D6" w:themeColor="accent5" w:themeTint="99"/>
        <w:insideH w:val="single" w:sz="4" w:space="0" w:color="6C95D6" w:themeColor="accent5" w:themeTint="99"/>
        <w:insideV w:val="single" w:sz="4" w:space="0" w:color="6C95D6" w:themeColor="accent5" w:themeTint="99"/>
      </w:tblBorders>
    </w:tblPr>
    <w:tblStylePr w:type="firstRow">
      <w:rPr>
        <w:b/>
        <w:bCs/>
      </w:rPr>
      <w:tblPr/>
      <w:tcPr>
        <w:tcBorders>
          <w:bottom w:val="single" w:sz="12" w:space="0" w:color="6C95D6" w:themeColor="accent5" w:themeTint="99"/>
        </w:tcBorders>
      </w:tcPr>
    </w:tblStylePr>
    <w:tblStylePr w:type="lastRow">
      <w:rPr>
        <w:b/>
        <w:bCs/>
      </w:rPr>
      <w:tblPr/>
      <w:tcPr>
        <w:tcBorders>
          <w:top w:val="double" w:sz="4" w:space="0" w:color="6C95D6" w:themeColor="accent5" w:themeTint="99"/>
        </w:tcBorders>
      </w:tcPr>
    </w:tblStylePr>
    <w:tblStylePr w:type="firstCol">
      <w:rPr>
        <w:b/>
        <w:bCs/>
      </w:rPr>
    </w:tblStylePr>
    <w:tblStylePr w:type="lastCol">
      <w:rPr>
        <w:b/>
        <w:bCs/>
      </w:rPr>
    </w:tblStylePr>
    <w:tblStylePr w:type="band1Vert">
      <w:tblPr/>
      <w:tcPr>
        <w:shd w:val="clear" w:color="auto" w:fill="CEDBF1" w:themeFill="accent5" w:themeFillTint="33"/>
      </w:tcPr>
    </w:tblStylePr>
    <w:tblStylePr w:type="band1Horz">
      <w:tblPr/>
      <w:tcPr>
        <w:shd w:val="clear" w:color="auto" w:fill="CEDBF1" w:themeFill="accent5" w:themeFillTint="33"/>
      </w:tcPr>
    </w:tblStylePr>
  </w:style>
  <w:style w:type="table" w:styleId="GridTable6Colorful-Accent6">
    <w:name w:val="Grid Table 6 Colorful Accent 6"/>
    <w:basedOn w:val="TableNormal"/>
    <w:uiPriority w:val="51"/>
    <w:pPr>
      <w:spacing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pPr>
      <w:spacing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7Colorful-Accent2">
    <w:name w:val="Grid Table 7 Colorful Accent 2"/>
    <w:basedOn w:val="TableNormal"/>
    <w:uiPriority w:val="52"/>
    <w:pPr>
      <w:spacing w:line="240" w:lineRule="auto"/>
    </w:pPr>
    <w:rPr>
      <w:color w:val="BF0000" w:themeColor="accent2" w:themeShade="BF"/>
    </w:rPr>
    <w:tblPr>
      <w:tblStyleRowBandSize w:val="1"/>
      <w:tblStyleColBandSize w:val="1"/>
      <w:tblBorders>
        <w:top w:val="single" w:sz="4" w:space="0" w:color="FF6666" w:themeColor="accent2" w:themeTint="99"/>
        <w:left w:val="single" w:sz="4" w:space="0" w:color="FF6666" w:themeColor="accent2" w:themeTint="99"/>
        <w:bottom w:val="single" w:sz="4" w:space="0" w:color="FF6666" w:themeColor="accent2" w:themeTint="99"/>
        <w:right w:val="single" w:sz="4" w:space="0" w:color="FF6666" w:themeColor="accent2" w:themeTint="99"/>
        <w:insideH w:val="single" w:sz="4" w:space="0" w:color="FF6666" w:themeColor="accent2" w:themeTint="99"/>
        <w:insideV w:val="single" w:sz="4" w:space="0" w:color="FF6666"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CCCC" w:themeFill="accent2" w:themeFillTint="33"/>
      </w:tcPr>
    </w:tblStylePr>
    <w:tblStylePr w:type="band1Horz">
      <w:tblPr/>
      <w:tcPr>
        <w:shd w:val="clear" w:color="auto" w:fill="FFCCCC" w:themeFill="accent2" w:themeFillTint="33"/>
      </w:tcPr>
    </w:tblStylePr>
    <w:tblStylePr w:type="neCell">
      <w:tblPr/>
      <w:tcPr>
        <w:tcBorders>
          <w:bottom w:val="single" w:sz="4" w:space="0" w:color="FF6666" w:themeColor="accent2" w:themeTint="99"/>
        </w:tcBorders>
      </w:tcPr>
    </w:tblStylePr>
    <w:tblStylePr w:type="nwCell">
      <w:tblPr/>
      <w:tcPr>
        <w:tcBorders>
          <w:bottom w:val="single" w:sz="4" w:space="0" w:color="FF6666" w:themeColor="accent2" w:themeTint="99"/>
        </w:tcBorders>
      </w:tcPr>
    </w:tblStylePr>
    <w:tblStylePr w:type="seCell">
      <w:tblPr/>
      <w:tcPr>
        <w:tcBorders>
          <w:top w:val="single" w:sz="4" w:space="0" w:color="FF6666" w:themeColor="accent2" w:themeTint="99"/>
        </w:tcBorders>
      </w:tcPr>
    </w:tblStylePr>
    <w:tblStylePr w:type="swCell">
      <w:tblPr/>
      <w:tcPr>
        <w:tcBorders>
          <w:top w:val="single" w:sz="4" w:space="0" w:color="FF6666" w:themeColor="accent2" w:themeTint="99"/>
        </w:tcBorders>
      </w:tcPr>
    </w:tblStylePr>
  </w:style>
  <w:style w:type="table" w:styleId="GridTable7Colorful-Accent3">
    <w:name w:val="Grid Table 7 Colorful Accent 3"/>
    <w:basedOn w:val="TableNormal"/>
    <w:uiPriority w:val="52"/>
    <w:pPr>
      <w:spacing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pPr>
      <w:spacing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7Colorful-Accent5">
    <w:name w:val="Grid Table 7 Colorful Accent 5"/>
    <w:basedOn w:val="TableNormal"/>
    <w:uiPriority w:val="52"/>
    <w:pPr>
      <w:spacing w:line="240" w:lineRule="auto"/>
    </w:pPr>
    <w:rPr>
      <w:color w:val="204173" w:themeColor="accent5" w:themeShade="BF"/>
    </w:rPr>
    <w:tblPr>
      <w:tblStyleRowBandSize w:val="1"/>
      <w:tblStyleColBandSize w:val="1"/>
      <w:tblBorders>
        <w:top w:val="single" w:sz="4" w:space="0" w:color="6C95D6" w:themeColor="accent5" w:themeTint="99"/>
        <w:left w:val="single" w:sz="4" w:space="0" w:color="6C95D6" w:themeColor="accent5" w:themeTint="99"/>
        <w:bottom w:val="single" w:sz="4" w:space="0" w:color="6C95D6" w:themeColor="accent5" w:themeTint="99"/>
        <w:right w:val="single" w:sz="4" w:space="0" w:color="6C95D6" w:themeColor="accent5" w:themeTint="99"/>
        <w:insideH w:val="single" w:sz="4" w:space="0" w:color="6C95D6" w:themeColor="accent5" w:themeTint="99"/>
        <w:insideV w:val="single" w:sz="4" w:space="0" w:color="6C95D6"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EDBF1" w:themeFill="accent5" w:themeFillTint="33"/>
      </w:tcPr>
    </w:tblStylePr>
    <w:tblStylePr w:type="band1Horz">
      <w:tblPr/>
      <w:tcPr>
        <w:shd w:val="clear" w:color="auto" w:fill="CEDBF1" w:themeFill="accent5" w:themeFillTint="33"/>
      </w:tcPr>
    </w:tblStylePr>
    <w:tblStylePr w:type="neCell">
      <w:tblPr/>
      <w:tcPr>
        <w:tcBorders>
          <w:bottom w:val="single" w:sz="4" w:space="0" w:color="6C95D6" w:themeColor="accent5" w:themeTint="99"/>
        </w:tcBorders>
      </w:tcPr>
    </w:tblStylePr>
    <w:tblStylePr w:type="nwCell">
      <w:tblPr/>
      <w:tcPr>
        <w:tcBorders>
          <w:bottom w:val="single" w:sz="4" w:space="0" w:color="6C95D6" w:themeColor="accent5" w:themeTint="99"/>
        </w:tcBorders>
      </w:tcPr>
    </w:tblStylePr>
    <w:tblStylePr w:type="seCell">
      <w:tblPr/>
      <w:tcPr>
        <w:tcBorders>
          <w:top w:val="single" w:sz="4" w:space="0" w:color="6C95D6" w:themeColor="accent5" w:themeTint="99"/>
        </w:tcBorders>
      </w:tcPr>
    </w:tblStylePr>
    <w:tblStylePr w:type="swCell">
      <w:tblPr/>
      <w:tcPr>
        <w:tcBorders>
          <w:top w:val="single" w:sz="4" w:space="0" w:color="6C95D6" w:themeColor="accent5" w:themeTint="99"/>
        </w:tcBorders>
      </w:tcPr>
    </w:tblStylePr>
  </w:style>
  <w:style w:type="table" w:styleId="GridTable7Colorful-Accent6">
    <w:name w:val="Grid Table 7 Colorful Accent 6"/>
    <w:basedOn w:val="TableNormal"/>
    <w:uiPriority w:val="52"/>
    <w:pPr>
      <w:spacing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eading3Char">
    <w:name w:val="Heading 3 Char"/>
    <w:basedOn w:val="DefaultParagraphFont"/>
    <w:link w:val="Heading3"/>
    <w:uiPriority w:val="1"/>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1"/>
    <w:semiHidden/>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1"/>
    <w:semiHidden/>
    <w:rPr>
      <w:rFonts w:asciiTheme="majorHAnsi" w:eastAsiaTheme="majorEastAsia" w:hAnsiTheme="majorHAnsi" w:cstheme="majorBidi"/>
      <w:b/>
      <w:color w:val="1F4D78" w:themeColor="accent1" w:themeShade="7F"/>
    </w:rPr>
  </w:style>
  <w:style w:type="character" w:customStyle="1" w:styleId="Heading7Char">
    <w:name w:val="Heading 7 Char"/>
    <w:basedOn w:val="DefaultParagraphFont"/>
    <w:link w:val="Heading7"/>
    <w:uiPriority w:val="1"/>
    <w:semiHidden/>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1"/>
    <w:semiHidden/>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1"/>
    <w:semiHidden/>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style>
  <w:style w:type="paragraph" w:styleId="HTMLAddress">
    <w:name w:val="HTML Address"/>
    <w:basedOn w:val="Normal"/>
    <w:link w:val="HTMLAddressChar"/>
    <w:uiPriority w:val="99"/>
    <w:semiHidden/>
    <w:unhideWhenUsed/>
    <w:pPr>
      <w:spacing w:before="0" w:line="240" w:lineRule="auto"/>
    </w:pPr>
    <w:rPr>
      <w:i/>
      <w:iCs/>
    </w:rPr>
  </w:style>
  <w:style w:type="character" w:customStyle="1" w:styleId="HTMLAddressChar">
    <w:name w:val="HTML Address Char"/>
    <w:basedOn w:val="DefaultParagraphFont"/>
    <w:link w:val="HTMLAddress"/>
    <w:uiPriority w:val="99"/>
    <w:semiHidden/>
    <w:rPr>
      <w:i/>
      <w:iCs/>
    </w:rPr>
  </w:style>
  <w:style w:type="character" w:styleId="HTMLCite">
    <w:name w:val="HTML Cite"/>
    <w:basedOn w:val="DefaultParagraphFont"/>
    <w:uiPriority w:val="99"/>
    <w:semiHidden/>
    <w:unhideWhenUsed/>
    <w:rPr>
      <w:i/>
      <w:iCs/>
    </w:rPr>
  </w:style>
  <w:style w:type="character" w:styleId="HTMLCode">
    <w:name w:val="HTML Code"/>
    <w:basedOn w:val="DefaultParagraphFont"/>
    <w:uiPriority w:val="99"/>
    <w:semiHidden/>
    <w:unhideWhenUsed/>
    <w:rPr>
      <w:rFonts w:ascii="Consolas" w:hAnsi="Consolas"/>
      <w:sz w:val="22"/>
      <w:szCs w:val="20"/>
    </w:rPr>
  </w:style>
  <w:style w:type="character" w:styleId="HTMLDefinition">
    <w:name w:val="HTML Definition"/>
    <w:basedOn w:val="DefaultParagraphFont"/>
    <w:uiPriority w:val="99"/>
    <w:semiHidden/>
    <w:unhideWhenUsed/>
    <w:rPr>
      <w:i/>
      <w:iCs/>
    </w:rPr>
  </w:style>
  <w:style w:type="character" w:styleId="HTMLKeyboard">
    <w:name w:val="HTML Keyboard"/>
    <w:basedOn w:val="DefaultParagraphFont"/>
    <w:uiPriority w:val="99"/>
    <w:semiHidden/>
    <w:unhideWhenUsed/>
    <w:rPr>
      <w:rFonts w:ascii="Consolas" w:hAnsi="Consolas"/>
      <w:sz w:val="22"/>
      <w:szCs w:val="20"/>
    </w:rPr>
  </w:style>
  <w:style w:type="paragraph" w:styleId="HTMLPreformatted">
    <w:name w:val="HTML Preformatted"/>
    <w:basedOn w:val="Normal"/>
    <w:link w:val="HTMLPreformattedChar"/>
    <w:uiPriority w:val="99"/>
    <w:semiHidden/>
    <w:unhideWhenUsed/>
    <w:pPr>
      <w:spacing w:before="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Pr>
      <w:rFonts w:ascii="Consolas" w:hAnsi="Consolas"/>
      <w:szCs w:val="20"/>
    </w:rPr>
  </w:style>
  <w:style w:type="character" w:styleId="HTMLSample">
    <w:name w:val="HTML Sample"/>
    <w:basedOn w:val="DefaultParagraphFont"/>
    <w:uiPriority w:val="99"/>
    <w:semiHidden/>
    <w:unhideWhenUsed/>
    <w:rPr>
      <w:rFonts w:ascii="Consolas" w:hAnsi="Consolas"/>
      <w:sz w:val="24"/>
      <w:szCs w:val="24"/>
    </w:rPr>
  </w:style>
  <w:style w:type="character" w:styleId="HTMLTypewriter">
    <w:name w:val="HTML Typewriter"/>
    <w:basedOn w:val="DefaultParagraphFont"/>
    <w:uiPriority w:val="99"/>
    <w:semiHidden/>
    <w:unhideWhenUsed/>
    <w:rPr>
      <w:rFonts w:ascii="Consolas" w:hAnsi="Consolas"/>
      <w:sz w:val="22"/>
      <w:szCs w:val="20"/>
    </w:rPr>
  </w:style>
  <w:style w:type="character" w:styleId="HTMLVariable">
    <w:name w:val="HTML Variable"/>
    <w:basedOn w:val="DefaultParagraphFont"/>
    <w:uiPriority w:val="99"/>
    <w:semiHidden/>
    <w:unhideWhenUsed/>
    <w:rPr>
      <w:i/>
      <w:iCs/>
    </w:rPr>
  </w:style>
  <w:style w:type="paragraph" w:styleId="Index1">
    <w:name w:val="index 1"/>
    <w:basedOn w:val="Normal"/>
    <w:next w:val="Normal"/>
    <w:autoRedefine/>
    <w:uiPriority w:val="99"/>
    <w:semiHidden/>
    <w:unhideWhenUsed/>
    <w:pPr>
      <w:spacing w:before="0" w:line="240" w:lineRule="auto"/>
      <w:ind w:left="220" w:hanging="220"/>
    </w:pPr>
  </w:style>
  <w:style w:type="paragraph" w:styleId="Index2">
    <w:name w:val="index 2"/>
    <w:basedOn w:val="Normal"/>
    <w:next w:val="Normal"/>
    <w:autoRedefine/>
    <w:uiPriority w:val="99"/>
    <w:semiHidden/>
    <w:unhideWhenUsed/>
    <w:pPr>
      <w:spacing w:before="0" w:line="240" w:lineRule="auto"/>
      <w:ind w:left="440" w:hanging="220"/>
    </w:pPr>
  </w:style>
  <w:style w:type="paragraph" w:styleId="Index3">
    <w:name w:val="index 3"/>
    <w:basedOn w:val="Normal"/>
    <w:next w:val="Normal"/>
    <w:autoRedefine/>
    <w:uiPriority w:val="99"/>
    <w:semiHidden/>
    <w:unhideWhenUsed/>
    <w:pPr>
      <w:spacing w:before="0" w:line="240" w:lineRule="auto"/>
      <w:ind w:left="660" w:hanging="220"/>
    </w:pPr>
  </w:style>
  <w:style w:type="paragraph" w:styleId="Index4">
    <w:name w:val="index 4"/>
    <w:basedOn w:val="Normal"/>
    <w:next w:val="Normal"/>
    <w:autoRedefine/>
    <w:uiPriority w:val="99"/>
    <w:semiHidden/>
    <w:unhideWhenUsed/>
    <w:pPr>
      <w:spacing w:before="0" w:line="240" w:lineRule="auto"/>
      <w:ind w:left="880" w:hanging="220"/>
    </w:pPr>
  </w:style>
  <w:style w:type="paragraph" w:styleId="Index5">
    <w:name w:val="index 5"/>
    <w:basedOn w:val="Normal"/>
    <w:next w:val="Normal"/>
    <w:autoRedefine/>
    <w:uiPriority w:val="99"/>
    <w:semiHidden/>
    <w:unhideWhenUsed/>
    <w:pPr>
      <w:spacing w:before="0" w:line="240" w:lineRule="auto"/>
      <w:ind w:left="1100" w:hanging="220"/>
    </w:pPr>
  </w:style>
  <w:style w:type="paragraph" w:styleId="Index6">
    <w:name w:val="index 6"/>
    <w:basedOn w:val="Normal"/>
    <w:next w:val="Normal"/>
    <w:autoRedefine/>
    <w:uiPriority w:val="99"/>
    <w:semiHidden/>
    <w:unhideWhenUsed/>
    <w:pPr>
      <w:spacing w:before="0" w:line="240" w:lineRule="auto"/>
      <w:ind w:left="1320" w:hanging="220"/>
    </w:pPr>
  </w:style>
  <w:style w:type="paragraph" w:styleId="Index7">
    <w:name w:val="index 7"/>
    <w:basedOn w:val="Normal"/>
    <w:next w:val="Normal"/>
    <w:autoRedefine/>
    <w:uiPriority w:val="99"/>
    <w:semiHidden/>
    <w:unhideWhenUsed/>
    <w:pPr>
      <w:spacing w:before="0" w:line="240" w:lineRule="auto"/>
      <w:ind w:left="1540" w:hanging="220"/>
    </w:pPr>
  </w:style>
  <w:style w:type="paragraph" w:styleId="Index8">
    <w:name w:val="index 8"/>
    <w:basedOn w:val="Normal"/>
    <w:next w:val="Normal"/>
    <w:autoRedefine/>
    <w:uiPriority w:val="99"/>
    <w:semiHidden/>
    <w:unhideWhenUsed/>
    <w:pPr>
      <w:spacing w:before="0" w:line="240" w:lineRule="auto"/>
      <w:ind w:left="1760" w:hanging="220"/>
    </w:pPr>
  </w:style>
  <w:style w:type="paragraph" w:styleId="Index9">
    <w:name w:val="index 9"/>
    <w:basedOn w:val="Normal"/>
    <w:next w:val="Normal"/>
    <w:autoRedefine/>
    <w:uiPriority w:val="99"/>
    <w:semiHidden/>
    <w:unhideWhenUsed/>
    <w:pPr>
      <w:spacing w:before="0" w:line="240" w:lineRule="auto"/>
      <w:ind w:left="1980" w:hanging="220"/>
    </w:pPr>
  </w:style>
  <w:style w:type="paragraph" w:styleId="IndexHeading">
    <w:name w:val="index heading"/>
    <w:basedOn w:val="Normal"/>
    <w:next w:val="Index1"/>
    <w:uiPriority w:val="99"/>
    <w:semiHidden/>
    <w:unhideWhenUsed/>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1F4E79" w:themeColor="accent1" w:themeShade="80"/>
        <w:bottom w:val="single" w:sz="4" w:space="10" w:color="1F4E79" w:themeColor="accent1" w:themeShade="80"/>
      </w:pBdr>
      <w:spacing w:before="360" w:after="360"/>
      <w:jc w:val="center"/>
    </w:pPr>
    <w:rPr>
      <w:i/>
      <w:iCs/>
      <w:color w:val="1F4E79" w:themeColor="accent1" w:themeShade="80"/>
    </w:rPr>
  </w:style>
  <w:style w:type="character" w:customStyle="1" w:styleId="IntenseQuoteChar">
    <w:name w:val="Intense Quote Char"/>
    <w:basedOn w:val="DefaultParagraphFont"/>
    <w:link w:val="IntenseQuote"/>
    <w:uiPriority w:val="30"/>
    <w:semiHidden/>
    <w:rPr>
      <w:i/>
      <w:iCs/>
      <w:color w:val="1F4E79" w:themeColor="accent1" w:themeShade="80"/>
    </w:rPr>
  </w:style>
  <w:style w:type="character" w:styleId="IntenseReference">
    <w:name w:val="Intense Reference"/>
    <w:basedOn w:val="DefaultParagraphFont"/>
    <w:uiPriority w:val="32"/>
    <w:semiHidden/>
    <w:unhideWhenUsed/>
    <w:qFormat/>
    <w:rPr>
      <w:b/>
      <w:bCs/>
      <w:caps w:val="0"/>
      <w:smallCaps/>
      <w:color w:val="1F4E79" w:themeColor="accent1" w:themeShade="80"/>
      <w:spacing w:val="0"/>
    </w:rPr>
  </w:style>
  <w:style w:type="table" w:styleId="LightGrid">
    <w:name w:val="Light Grid"/>
    <w:basedOn w:val="TableNormal"/>
    <w:uiPriority w:val="62"/>
    <w:semiHidden/>
    <w:unhideWhenUsed/>
    <w:pPr>
      <w:spacing w:before="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pPr>
      <w:spacing w:before="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ghtGrid-Accent2">
    <w:name w:val="Light Grid Accent 2"/>
    <w:basedOn w:val="TableNormal"/>
    <w:uiPriority w:val="62"/>
    <w:semiHidden/>
    <w:unhideWhenUsed/>
    <w:pPr>
      <w:spacing w:before="0" w:line="240" w:lineRule="auto"/>
    </w:pPr>
    <w:tblPr>
      <w:tblStyleRowBandSize w:val="1"/>
      <w:tblStyleColBandSize w:val="1"/>
      <w:tblBorders>
        <w:top w:val="single" w:sz="8" w:space="0" w:color="FF0000" w:themeColor="accent2"/>
        <w:left w:val="single" w:sz="8" w:space="0" w:color="FF0000" w:themeColor="accent2"/>
        <w:bottom w:val="single" w:sz="8" w:space="0" w:color="FF0000" w:themeColor="accent2"/>
        <w:right w:val="single" w:sz="8" w:space="0" w:color="FF0000" w:themeColor="accent2"/>
        <w:insideH w:val="single" w:sz="8" w:space="0" w:color="FF0000" w:themeColor="accent2"/>
        <w:insideV w:val="single" w:sz="8" w:space="0" w:color="FF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0000" w:themeColor="accent2"/>
          <w:left w:val="single" w:sz="8" w:space="0" w:color="FF0000" w:themeColor="accent2"/>
          <w:bottom w:val="single" w:sz="18" w:space="0" w:color="FF0000" w:themeColor="accent2"/>
          <w:right w:val="single" w:sz="8" w:space="0" w:color="FF0000" w:themeColor="accent2"/>
          <w:insideH w:val="nil"/>
          <w:insideV w:val="single" w:sz="8" w:space="0" w:color="FF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0000" w:themeColor="accent2"/>
          <w:left w:val="single" w:sz="8" w:space="0" w:color="FF0000" w:themeColor="accent2"/>
          <w:bottom w:val="single" w:sz="8" w:space="0" w:color="FF0000" w:themeColor="accent2"/>
          <w:right w:val="single" w:sz="8" w:space="0" w:color="FF0000" w:themeColor="accent2"/>
          <w:insideH w:val="nil"/>
          <w:insideV w:val="single" w:sz="8" w:space="0" w:color="FF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0000" w:themeColor="accent2"/>
          <w:left w:val="single" w:sz="8" w:space="0" w:color="FF0000" w:themeColor="accent2"/>
          <w:bottom w:val="single" w:sz="8" w:space="0" w:color="FF0000" w:themeColor="accent2"/>
          <w:right w:val="single" w:sz="8" w:space="0" w:color="FF0000" w:themeColor="accent2"/>
        </w:tcBorders>
      </w:tcPr>
    </w:tblStylePr>
    <w:tblStylePr w:type="band1Vert">
      <w:tblPr/>
      <w:tcPr>
        <w:tcBorders>
          <w:top w:val="single" w:sz="8" w:space="0" w:color="FF0000" w:themeColor="accent2"/>
          <w:left w:val="single" w:sz="8" w:space="0" w:color="FF0000" w:themeColor="accent2"/>
          <w:bottom w:val="single" w:sz="8" w:space="0" w:color="FF0000" w:themeColor="accent2"/>
          <w:right w:val="single" w:sz="8" w:space="0" w:color="FF0000" w:themeColor="accent2"/>
        </w:tcBorders>
        <w:shd w:val="clear" w:color="auto" w:fill="FFC0C0" w:themeFill="accent2" w:themeFillTint="3F"/>
      </w:tcPr>
    </w:tblStylePr>
    <w:tblStylePr w:type="band1Horz">
      <w:tblPr/>
      <w:tcPr>
        <w:tcBorders>
          <w:top w:val="single" w:sz="8" w:space="0" w:color="FF0000" w:themeColor="accent2"/>
          <w:left w:val="single" w:sz="8" w:space="0" w:color="FF0000" w:themeColor="accent2"/>
          <w:bottom w:val="single" w:sz="8" w:space="0" w:color="FF0000" w:themeColor="accent2"/>
          <w:right w:val="single" w:sz="8" w:space="0" w:color="FF0000" w:themeColor="accent2"/>
          <w:insideV w:val="single" w:sz="8" w:space="0" w:color="FF0000" w:themeColor="accent2"/>
        </w:tcBorders>
        <w:shd w:val="clear" w:color="auto" w:fill="FFC0C0" w:themeFill="accent2" w:themeFillTint="3F"/>
      </w:tcPr>
    </w:tblStylePr>
    <w:tblStylePr w:type="band2Horz">
      <w:tblPr/>
      <w:tcPr>
        <w:tcBorders>
          <w:top w:val="single" w:sz="8" w:space="0" w:color="FF0000" w:themeColor="accent2"/>
          <w:left w:val="single" w:sz="8" w:space="0" w:color="FF0000" w:themeColor="accent2"/>
          <w:bottom w:val="single" w:sz="8" w:space="0" w:color="FF0000" w:themeColor="accent2"/>
          <w:right w:val="single" w:sz="8" w:space="0" w:color="FF0000" w:themeColor="accent2"/>
          <w:insideV w:val="single" w:sz="8" w:space="0" w:color="FF0000" w:themeColor="accent2"/>
        </w:tcBorders>
      </w:tcPr>
    </w:tblStylePr>
  </w:style>
  <w:style w:type="table" w:styleId="LightGrid-Accent3">
    <w:name w:val="Light Grid Accent 3"/>
    <w:basedOn w:val="TableNormal"/>
    <w:uiPriority w:val="62"/>
    <w:semiHidden/>
    <w:unhideWhenUsed/>
    <w:pPr>
      <w:spacing w:before="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pPr>
      <w:spacing w:before="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semiHidden/>
    <w:unhideWhenUsed/>
    <w:pPr>
      <w:spacing w:before="0" w:line="240" w:lineRule="auto"/>
    </w:pPr>
    <w:tblPr>
      <w:tblStyleRowBandSize w:val="1"/>
      <w:tblStyleColBandSize w:val="1"/>
      <w:tblBorders>
        <w:top w:val="single" w:sz="8" w:space="0" w:color="2B579A" w:themeColor="accent5"/>
        <w:left w:val="single" w:sz="8" w:space="0" w:color="2B579A" w:themeColor="accent5"/>
        <w:bottom w:val="single" w:sz="8" w:space="0" w:color="2B579A" w:themeColor="accent5"/>
        <w:right w:val="single" w:sz="8" w:space="0" w:color="2B579A" w:themeColor="accent5"/>
        <w:insideH w:val="single" w:sz="8" w:space="0" w:color="2B579A" w:themeColor="accent5"/>
        <w:insideV w:val="single" w:sz="8" w:space="0" w:color="2B579A"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B579A" w:themeColor="accent5"/>
          <w:left w:val="single" w:sz="8" w:space="0" w:color="2B579A" w:themeColor="accent5"/>
          <w:bottom w:val="single" w:sz="18" w:space="0" w:color="2B579A" w:themeColor="accent5"/>
          <w:right w:val="single" w:sz="8" w:space="0" w:color="2B579A" w:themeColor="accent5"/>
          <w:insideH w:val="nil"/>
          <w:insideV w:val="single" w:sz="8" w:space="0" w:color="2B579A"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B579A" w:themeColor="accent5"/>
          <w:left w:val="single" w:sz="8" w:space="0" w:color="2B579A" w:themeColor="accent5"/>
          <w:bottom w:val="single" w:sz="8" w:space="0" w:color="2B579A" w:themeColor="accent5"/>
          <w:right w:val="single" w:sz="8" w:space="0" w:color="2B579A" w:themeColor="accent5"/>
          <w:insideH w:val="nil"/>
          <w:insideV w:val="single" w:sz="8" w:space="0" w:color="2B579A"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B579A" w:themeColor="accent5"/>
          <w:left w:val="single" w:sz="8" w:space="0" w:color="2B579A" w:themeColor="accent5"/>
          <w:bottom w:val="single" w:sz="8" w:space="0" w:color="2B579A" w:themeColor="accent5"/>
          <w:right w:val="single" w:sz="8" w:space="0" w:color="2B579A" w:themeColor="accent5"/>
        </w:tcBorders>
      </w:tcPr>
    </w:tblStylePr>
    <w:tblStylePr w:type="band1Vert">
      <w:tblPr/>
      <w:tcPr>
        <w:tcBorders>
          <w:top w:val="single" w:sz="8" w:space="0" w:color="2B579A" w:themeColor="accent5"/>
          <w:left w:val="single" w:sz="8" w:space="0" w:color="2B579A" w:themeColor="accent5"/>
          <w:bottom w:val="single" w:sz="8" w:space="0" w:color="2B579A" w:themeColor="accent5"/>
          <w:right w:val="single" w:sz="8" w:space="0" w:color="2B579A" w:themeColor="accent5"/>
        </w:tcBorders>
        <w:shd w:val="clear" w:color="auto" w:fill="C2D3EE" w:themeFill="accent5" w:themeFillTint="3F"/>
      </w:tcPr>
    </w:tblStylePr>
    <w:tblStylePr w:type="band1Horz">
      <w:tblPr/>
      <w:tcPr>
        <w:tcBorders>
          <w:top w:val="single" w:sz="8" w:space="0" w:color="2B579A" w:themeColor="accent5"/>
          <w:left w:val="single" w:sz="8" w:space="0" w:color="2B579A" w:themeColor="accent5"/>
          <w:bottom w:val="single" w:sz="8" w:space="0" w:color="2B579A" w:themeColor="accent5"/>
          <w:right w:val="single" w:sz="8" w:space="0" w:color="2B579A" w:themeColor="accent5"/>
          <w:insideV w:val="single" w:sz="8" w:space="0" w:color="2B579A" w:themeColor="accent5"/>
        </w:tcBorders>
        <w:shd w:val="clear" w:color="auto" w:fill="C2D3EE" w:themeFill="accent5" w:themeFillTint="3F"/>
      </w:tcPr>
    </w:tblStylePr>
    <w:tblStylePr w:type="band2Horz">
      <w:tblPr/>
      <w:tcPr>
        <w:tcBorders>
          <w:top w:val="single" w:sz="8" w:space="0" w:color="2B579A" w:themeColor="accent5"/>
          <w:left w:val="single" w:sz="8" w:space="0" w:color="2B579A" w:themeColor="accent5"/>
          <w:bottom w:val="single" w:sz="8" w:space="0" w:color="2B579A" w:themeColor="accent5"/>
          <w:right w:val="single" w:sz="8" w:space="0" w:color="2B579A" w:themeColor="accent5"/>
          <w:insideV w:val="single" w:sz="8" w:space="0" w:color="2B579A" w:themeColor="accent5"/>
        </w:tcBorders>
      </w:tcPr>
    </w:tblStylePr>
  </w:style>
  <w:style w:type="table" w:styleId="LightGrid-Accent6">
    <w:name w:val="Light Grid Accent 6"/>
    <w:basedOn w:val="TableNormal"/>
    <w:uiPriority w:val="62"/>
    <w:semiHidden/>
    <w:unhideWhenUsed/>
    <w:pPr>
      <w:spacing w:before="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List">
    <w:name w:val="Light List"/>
    <w:basedOn w:val="TableNormal"/>
    <w:uiPriority w:val="61"/>
    <w:semiHidden/>
    <w:unhideWhenUsed/>
    <w:pPr>
      <w:spacing w:before="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pPr>
      <w:spacing w:before="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ghtList-Accent2">
    <w:name w:val="Light List Accent 2"/>
    <w:basedOn w:val="TableNormal"/>
    <w:uiPriority w:val="61"/>
    <w:semiHidden/>
    <w:unhideWhenUsed/>
    <w:pPr>
      <w:spacing w:before="0" w:line="240" w:lineRule="auto"/>
    </w:pPr>
    <w:tblPr>
      <w:tblStyleRowBandSize w:val="1"/>
      <w:tblStyleColBandSize w:val="1"/>
      <w:tblBorders>
        <w:top w:val="single" w:sz="8" w:space="0" w:color="FF0000" w:themeColor="accent2"/>
        <w:left w:val="single" w:sz="8" w:space="0" w:color="FF0000" w:themeColor="accent2"/>
        <w:bottom w:val="single" w:sz="8" w:space="0" w:color="FF0000" w:themeColor="accent2"/>
        <w:right w:val="single" w:sz="8" w:space="0" w:color="FF0000" w:themeColor="accent2"/>
      </w:tblBorders>
    </w:tblPr>
    <w:tblStylePr w:type="firstRow">
      <w:pPr>
        <w:spacing w:before="0" w:after="0" w:line="240" w:lineRule="auto"/>
      </w:pPr>
      <w:rPr>
        <w:b/>
        <w:bCs/>
        <w:color w:val="FFFFFF" w:themeColor="background1"/>
      </w:rPr>
      <w:tblPr/>
      <w:tcPr>
        <w:shd w:val="clear" w:color="auto" w:fill="FF0000" w:themeFill="accent2"/>
      </w:tcPr>
    </w:tblStylePr>
    <w:tblStylePr w:type="lastRow">
      <w:pPr>
        <w:spacing w:before="0" w:after="0" w:line="240" w:lineRule="auto"/>
      </w:pPr>
      <w:rPr>
        <w:b/>
        <w:bCs/>
      </w:rPr>
      <w:tblPr/>
      <w:tcPr>
        <w:tcBorders>
          <w:top w:val="double" w:sz="6" w:space="0" w:color="FF0000" w:themeColor="accent2"/>
          <w:left w:val="single" w:sz="8" w:space="0" w:color="FF0000" w:themeColor="accent2"/>
          <w:bottom w:val="single" w:sz="8" w:space="0" w:color="FF0000" w:themeColor="accent2"/>
          <w:right w:val="single" w:sz="8" w:space="0" w:color="FF0000" w:themeColor="accent2"/>
        </w:tcBorders>
      </w:tcPr>
    </w:tblStylePr>
    <w:tblStylePr w:type="firstCol">
      <w:rPr>
        <w:b/>
        <w:bCs/>
      </w:rPr>
    </w:tblStylePr>
    <w:tblStylePr w:type="lastCol">
      <w:rPr>
        <w:b/>
        <w:bCs/>
      </w:rPr>
    </w:tblStylePr>
    <w:tblStylePr w:type="band1Vert">
      <w:tblPr/>
      <w:tcPr>
        <w:tcBorders>
          <w:top w:val="single" w:sz="8" w:space="0" w:color="FF0000" w:themeColor="accent2"/>
          <w:left w:val="single" w:sz="8" w:space="0" w:color="FF0000" w:themeColor="accent2"/>
          <w:bottom w:val="single" w:sz="8" w:space="0" w:color="FF0000" w:themeColor="accent2"/>
          <w:right w:val="single" w:sz="8" w:space="0" w:color="FF0000" w:themeColor="accent2"/>
        </w:tcBorders>
      </w:tcPr>
    </w:tblStylePr>
    <w:tblStylePr w:type="band1Horz">
      <w:tblPr/>
      <w:tcPr>
        <w:tcBorders>
          <w:top w:val="single" w:sz="8" w:space="0" w:color="FF0000" w:themeColor="accent2"/>
          <w:left w:val="single" w:sz="8" w:space="0" w:color="FF0000" w:themeColor="accent2"/>
          <w:bottom w:val="single" w:sz="8" w:space="0" w:color="FF0000" w:themeColor="accent2"/>
          <w:right w:val="single" w:sz="8" w:space="0" w:color="FF0000" w:themeColor="accent2"/>
        </w:tcBorders>
      </w:tcPr>
    </w:tblStylePr>
  </w:style>
  <w:style w:type="table" w:styleId="LightList-Accent3">
    <w:name w:val="Light List Accent 3"/>
    <w:basedOn w:val="TableNormal"/>
    <w:uiPriority w:val="61"/>
    <w:semiHidden/>
    <w:unhideWhenUsed/>
    <w:pPr>
      <w:spacing w:before="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pPr>
      <w:spacing w:before="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semiHidden/>
    <w:unhideWhenUsed/>
    <w:pPr>
      <w:spacing w:before="0" w:line="240" w:lineRule="auto"/>
    </w:pPr>
    <w:tblPr>
      <w:tblStyleRowBandSize w:val="1"/>
      <w:tblStyleColBandSize w:val="1"/>
      <w:tblBorders>
        <w:top w:val="single" w:sz="8" w:space="0" w:color="2B579A" w:themeColor="accent5"/>
        <w:left w:val="single" w:sz="8" w:space="0" w:color="2B579A" w:themeColor="accent5"/>
        <w:bottom w:val="single" w:sz="8" w:space="0" w:color="2B579A" w:themeColor="accent5"/>
        <w:right w:val="single" w:sz="8" w:space="0" w:color="2B579A" w:themeColor="accent5"/>
      </w:tblBorders>
    </w:tblPr>
    <w:tblStylePr w:type="firstRow">
      <w:pPr>
        <w:spacing w:before="0" w:after="0" w:line="240" w:lineRule="auto"/>
      </w:pPr>
      <w:rPr>
        <w:b/>
        <w:bCs/>
        <w:color w:val="FFFFFF" w:themeColor="background1"/>
      </w:rPr>
      <w:tblPr/>
      <w:tcPr>
        <w:shd w:val="clear" w:color="auto" w:fill="2B579A" w:themeFill="accent5"/>
      </w:tcPr>
    </w:tblStylePr>
    <w:tblStylePr w:type="lastRow">
      <w:pPr>
        <w:spacing w:before="0" w:after="0" w:line="240" w:lineRule="auto"/>
      </w:pPr>
      <w:rPr>
        <w:b/>
        <w:bCs/>
      </w:rPr>
      <w:tblPr/>
      <w:tcPr>
        <w:tcBorders>
          <w:top w:val="double" w:sz="6" w:space="0" w:color="2B579A" w:themeColor="accent5"/>
          <w:left w:val="single" w:sz="8" w:space="0" w:color="2B579A" w:themeColor="accent5"/>
          <w:bottom w:val="single" w:sz="8" w:space="0" w:color="2B579A" w:themeColor="accent5"/>
          <w:right w:val="single" w:sz="8" w:space="0" w:color="2B579A" w:themeColor="accent5"/>
        </w:tcBorders>
      </w:tcPr>
    </w:tblStylePr>
    <w:tblStylePr w:type="firstCol">
      <w:rPr>
        <w:b/>
        <w:bCs/>
      </w:rPr>
    </w:tblStylePr>
    <w:tblStylePr w:type="lastCol">
      <w:rPr>
        <w:b/>
        <w:bCs/>
      </w:rPr>
    </w:tblStylePr>
    <w:tblStylePr w:type="band1Vert">
      <w:tblPr/>
      <w:tcPr>
        <w:tcBorders>
          <w:top w:val="single" w:sz="8" w:space="0" w:color="2B579A" w:themeColor="accent5"/>
          <w:left w:val="single" w:sz="8" w:space="0" w:color="2B579A" w:themeColor="accent5"/>
          <w:bottom w:val="single" w:sz="8" w:space="0" w:color="2B579A" w:themeColor="accent5"/>
          <w:right w:val="single" w:sz="8" w:space="0" w:color="2B579A" w:themeColor="accent5"/>
        </w:tcBorders>
      </w:tcPr>
    </w:tblStylePr>
    <w:tblStylePr w:type="band1Horz">
      <w:tblPr/>
      <w:tcPr>
        <w:tcBorders>
          <w:top w:val="single" w:sz="8" w:space="0" w:color="2B579A" w:themeColor="accent5"/>
          <w:left w:val="single" w:sz="8" w:space="0" w:color="2B579A" w:themeColor="accent5"/>
          <w:bottom w:val="single" w:sz="8" w:space="0" w:color="2B579A" w:themeColor="accent5"/>
          <w:right w:val="single" w:sz="8" w:space="0" w:color="2B579A" w:themeColor="accent5"/>
        </w:tcBorders>
      </w:tcPr>
    </w:tblStylePr>
  </w:style>
  <w:style w:type="table" w:styleId="LightList-Accent6">
    <w:name w:val="Light List Accent 6"/>
    <w:basedOn w:val="TableNormal"/>
    <w:uiPriority w:val="61"/>
    <w:semiHidden/>
    <w:unhideWhenUsed/>
    <w:pPr>
      <w:spacing w:before="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pPr>
      <w:spacing w:before="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pPr>
      <w:spacing w:before="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Accent2">
    <w:name w:val="Light Shading Accent 2"/>
    <w:basedOn w:val="TableNormal"/>
    <w:uiPriority w:val="60"/>
    <w:semiHidden/>
    <w:unhideWhenUsed/>
    <w:pPr>
      <w:spacing w:before="0" w:line="240" w:lineRule="auto"/>
    </w:pPr>
    <w:rPr>
      <w:color w:val="BF0000" w:themeColor="accent2" w:themeShade="BF"/>
    </w:rPr>
    <w:tblPr>
      <w:tblStyleRowBandSize w:val="1"/>
      <w:tblStyleColBandSize w:val="1"/>
      <w:tblBorders>
        <w:top w:val="single" w:sz="8" w:space="0" w:color="FF0000" w:themeColor="accent2"/>
        <w:bottom w:val="single" w:sz="8" w:space="0" w:color="FF0000" w:themeColor="accent2"/>
      </w:tblBorders>
    </w:tblPr>
    <w:tblStylePr w:type="firstRow">
      <w:pPr>
        <w:spacing w:before="0" w:after="0" w:line="240" w:lineRule="auto"/>
      </w:pPr>
      <w:rPr>
        <w:b/>
        <w:bCs/>
      </w:rPr>
      <w:tblPr/>
      <w:tcPr>
        <w:tcBorders>
          <w:top w:val="single" w:sz="8" w:space="0" w:color="FF0000" w:themeColor="accent2"/>
          <w:left w:val="nil"/>
          <w:bottom w:val="single" w:sz="8" w:space="0" w:color="FF0000" w:themeColor="accent2"/>
          <w:right w:val="nil"/>
          <w:insideH w:val="nil"/>
          <w:insideV w:val="nil"/>
        </w:tcBorders>
      </w:tcPr>
    </w:tblStylePr>
    <w:tblStylePr w:type="lastRow">
      <w:pPr>
        <w:spacing w:before="0" w:after="0" w:line="240" w:lineRule="auto"/>
      </w:pPr>
      <w:rPr>
        <w:b/>
        <w:bCs/>
      </w:rPr>
      <w:tblPr/>
      <w:tcPr>
        <w:tcBorders>
          <w:top w:val="single" w:sz="8" w:space="0" w:color="FF0000" w:themeColor="accent2"/>
          <w:left w:val="nil"/>
          <w:bottom w:val="single" w:sz="8" w:space="0" w:color="FF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C0C0" w:themeFill="accent2" w:themeFillTint="3F"/>
      </w:tcPr>
    </w:tblStylePr>
    <w:tblStylePr w:type="band1Horz">
      <w:tblPr/>
      <w:tcPr>
        <w:tcBorders>
          <w:left w:val="nil"/>
          <w:right w:val="nil"/>
          <w:insideH w:val="nil"/>
          <w:insideV w:val="nil"/>
        </w:tcBorders>
        <w:shd w:val="clear" w:color="auto" w:fill="FFC0C0" w:themeFill="accent2" w:themeFillTint="3F"/>
      </w:tcPr>
    </w:tblStylePr>
  </w:style>
  <w:style w:type="table" w:styleId="LightShading-Accent3">
    <w:name w:val="Light Shading Accent 3"/>
    <w:basedOn w:val="TableNormal"/>
    <w:uiPriority w:val="60"/>
    <w:semiHidden/>
    <w:unhideWhenUsed/>
    <w:pPr>
      <w:spacing w:before="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pPr>
      <w:spacing w:before="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semiHidden/>
    <w:unhideWhenUsed/>
    <w:pPr>
      <w:spacing w:before="0" w:line="240" w:lineRule="auto"/>
    </w:pPr>
    <w:rPr>
      <w:color w:val="204173" w:themeColor="accent5" w:themeShade="BF"/>
    </w:rPr>
    <w:tblPr>
      <w:tblStyleRowBandSize w:val="1"/>
      <w:tblStyleColBandSize w:val="1"/>
      <w:tblBorders>
        <w:top w:val="single" w:sz="8" w:space="0" w:color="2B579A" w:themeColor="accent5"/>
        <w:bottom w:val="single" w:sz="8" w:space="0" w:color="2B579A" w:themeColor="accent5"/>
      </w:tblBorders>
    </w:tblPr>
    <w:tblStylePr w:type="firstRow">
      <w:pPr>
        <w:spacing w:before="0" w:after="0" w:line="240" w:lineRule="auto"/>
      </w:pPr>
      <w:rPr>
        <w:b/>
        <w:bCs/>
      </w:rPr>
      <w:tblPr/>
      <w:tcPr>
        <w:tcBorders>
          <w:top w:val="single" w:sz="8" w:space="0" w:color="2B579A" w:themeColor="accent5"/>
          <w:left w:val="nil"/>
          <w:bottom w:val="single" w:sz="8" w:space="0" w:color="2B579A" w:themeColor="accent5"/>
          <w:right w:val="nil"/>
          <w:insideH w:val="nil"/>
          <w:insideV w:val="nil"/>
        </w:tcBorders>
      </w:tcPr>
    </w:tblStylePr>
    <w:tblStylePr w:type="lastRow">
      <w:pPr>
        <w:spacing w:before="0" w:after="0" w:line="240" w:lineRule="auto"/>
      </w:pPr>
      <w:rPr>
        <w:b/>
        <w:bCs/>
      </w:rPr>
      <w:tblPr/>
      <w:tcPr>
        <w:tcBorders>
          <w:top w:val="single" w:sz="8" w:space="0" w:color="2B579A" w:themeColor="accent5"/>
          <w:left w:val="nil"/>
          <w:bottom w:val="single" w:sz="8" w:space="0" w:color="2B579A"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2D3EE" w:themeFill="accent5" w:themeFillTint="3F"/>
      </w:tcPr>
    </w:tblStylePr>
    <w:tblStylePr w:type="band1Horz">
      <w:tblPr/>
      <w:tcPr>
        <w:tcBorders>
          <w:left w:val="nil"/>
          <w:right w:val="nil"/>
          <w:insideH w:val="nil"/>
          <w:insideV w:val="nil"/>
        </w:tcBorders>
        <w:shd w:val="clear" w:color="auto" w:fill="C2D3EE" w:themeFill="accent5" w:themeFillTint="3F"/>
      </w:tcPr>
    </w:tblStylePr>
  </w:style>
  <w:style w:type="table" w:styleId="LightShading-Accent6">
    <w:name w:val="Light Shading Accent 6"/>
    <w:basedOn w:val="TableNormal"/>
    <w:uiPriority w:val="60"/>
    <w:semiHidden/>
    <w:unhideWhenUsed/>
    <w:pPr>
      <w:spacing w:before="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LineNumber">
    <w:name w:val="line number"/>
    <w:basedOn w:val="DefaultParagraphFont"/>
    <w:uiPriority w:val="99"/>
    <w:semiHidden/>
    <w:unhideWhenUsed/>
  </w:style>
  <w:style w:type="paragraph" w:styleId="List">
    <w:name w:val="List"/>
    <w:basedOn w:val="Normal"/>
    <w:uiPriority w:val="99"/>
    <w:semiHidden/>
    <w:unhideWhenUsed/>
    <w:pPr>
      <w:ind w:left="360" w:hanging="360"/>
      <w:contextualSpacing/>
    </w:pPr>
  </w:style>
  <w:style w:type="paragraph" w:styleId="List2">
    <w:name w:val="List 2"/>
    <w:basedOn w:val="Normal"/>
    <w:uiPriority w:val="99"/>
    <w:semiHidden/>
    <w:unhideWhenUsed/>
    <w:pPr>
      <w:ind w:left="720" w:hanging="360"/>
      <w:contextualSpacing/>
    </w:pPr>
  </w:style>
  <w:style w:type="paragraph" w:styleId="List3">
    <w:name w:val="List 3"/>
    <w:basedOn w:val="Normal"/>
    <w:uiPriority w:val="99"/>
    <w:semiHidden/>
    <w:unhideWhenUsed/>
    <w:pPr>
      <w:ind w:left="1080" w:hanging="360"/>
      <w:contextualSpacing/>
    </w:pPr>
  </w:style>
  <w:style w:type="paragraph" w:styleId="List4">
    <w:name w:val="List 4"/>
    <w:basedOn w:val="Normal"/>
    <w:uiPriority w:val="99"/>
    <w:semiHidden/>
    <w:unhideWhenUsed/>
    <w:pPr>
      <w:ind w:left="1440" w:hanging="360"/>
      <w:contextualSpacing/>
    </w:pPr>
  </w:style>
  <w:style w:type="paragraph" w:styleId="List5">
    <w:name w:val="List 5"/>
    <w:basedOn w:val="Normal"/>
    <w:uiPriority w:val="99"/>
    <w:semiHidden/>
    <w:unhideWhenUsed/>
    <w:pPr>
      <w:ind w:left="1800" w:hanging="360"/>
      <w:contextualSpacing/>
    </w:pPr>
  </w:style>
  <w:style w:type="paragraph" w:styleId="ListBullet2">
    <w:name w:val="List Bullet 2"/>
    <w:basedOn w:val="Normal"/>
    <w:uiPriority w:val="99"/>
    <w:semiHidden/>
    <w:unhideWhenUsed/>
    <w:pPr>
      <w:numPr>
        <w:numId w:val="3"/>
      </w:numPr>
      <w:contextualSpacing/>
    </w:pPr>
  </w:style>
  <w:style w:type="paragraph" w:styleId="ListBullet3">
    <w:name w:val="List Bullet 3"/>
    <w:basedOn w:val="Normal"/>
    <w:uiPriority w:val="99"/>
    <w:semiHidden/>
    <w:unhideWhenUsed/>
    <w:pPr>
      <w:numPr>
        <w:numId w:val="4"/>
      </w:numPr>
      <w:contextualSpacing/>
    </w:pPr>
  </w:style>
  <w:style w:type="paragraph" w:styleId="ListBullet4">
    <w:name w:val="List Bullet 4"/>
    <w:basedOn w:val="Normal"/>
    <w:uiPriority w:val="99"/>
    <w:semiHidden/>
    <w:unhideWhenUsed/>
    <w:pPr>
      <w:numPr>
        <w:numId w:val="5"/>
      </w:numPr>
      <w:contextualSpacing/>
    </w:pPr>
  </w:style>
  <w:style w:type="paragraph" w:styleId="ListBullet5">
    <w:name w:val="List Bullet 5"/>
    <w:basedOn w:val="Normal"/>
    <w:uiPriority w:val="99"/>
    <w:semiHidden/>
    <w:unhideWhenUsed/>
    <w:pPr>
      <w:numPr>
        <w:numId w:val="6"/>
      </w:numPr>
      <w:contextualSpacing/>
    </w:pPr>
  </w:style>
  <w:style w:type="paragraph" w:styleId="ListContinue">
    <w:name w:val="List Continue"/>
    <w:basedOn w:val="Normal"/>
    <w:uiPriority w:val="99"/>
    <w:semiHidden/>
    <w:unhideWhenUsed/>
    <w:pPr>
      <w:spacing w:after="120"/>
      <w:ind w:left="360"/>
      <w:contextualSpacing/>
    </w:pPr>
  </w:style>
  <w:style w:type="paragraph" w:styleId="ListContinue2">
    <w:name w:val="List Continue 2"/>
    <w:basedOn w:val="Normal"/>
    <w:uiPriority w:val="99"/>
    <w:semiHidden/>
    <w:unhideWhenUsed/>
    <w:pPr>
      <w:spacing w:after="120"/>
      <w:ind w:left="720"/>
      <w:contextualSpacing/>
    </w:pPr>
  </w:style>
  <w:style w:type="paragraph" w:styleId="ListContinue3">
    <w:name w:val="List Continue 3"/>
    <w:basedOn w:val="Normal"/>
    <w:uiPriority w:val="99"/>
    <w:semiHidden/>
    <w:unhideWhenUsed/>
    <w:pPr>
      <w:spacing w:after="120"/>
      <w:ind w:left="1080"/>
      <w:contextualSpacing/>
    </w:pPr>
  </w:style>
  <w:style w:type="paragraph" w:styleId="ListContinue4">
    <w:name w:val="List Continue 4"/>
    <w:basedOn w:val="Normal"/>
    <w:uiPriority w:val="99"/>
    <w:semiHidden/>
    <w:unhideWhenUsed/>
    <w:pPr>
      <w:spacing w:after="120"/>
      <w:ind w:left="1440"/>
      <w:contextualSpacing/>
    </w:pPr>
  </w:style>
  <w:style w:type="paragraph" w:styleId="ListContinue5">
    <w:name w:val="List Continue 5"/>
    <w:basedOn w:val="Normal"/>
    <w:uiPriority w:val="99"/>
    <w:semiHidden/>
    <w:unhideWhenUsed/>
    <w:pPr>
      <w:spacing w:after="120"/>
      <w:ind w:left="1800"/>
      <w:contextualSpacing/>
    </w:pPr>
  </w:style>
  <w:style w:type="paragraph" w:styleId="ListNumber2">
    <w:name w:val="List Number 2"/>
    <w:basedOn w:val="Normal"/>
    <w:uiPriority w:val="99"/>
    <w:semiHidden/>
    <w:unhideWhenUsed/>
    <w:pPr>
      <w:numPr>
        <w:numId w:val="7"/>
      </w:numPr>
      <w:contextualSpacing/>
    </w:pPr>
  </w:style>
  <w:style w:type="paragraph" w:styleId="ListNumber3">
    <w:name w:val="List Number 3"/>
    <w:basedOn w:val="Normal"/>
    <w:uiPriority w:val="99"/>
    <w:semiHidden/>
    <w:unhideWhenUsed/>
    <w:pPr>
      <w:numPr>
        <w:numId w:val="8"/>
      </w:numPr>
      <w:contextualSpacing/>
    </w:pPr>
  </w:style>
  <w:style w:type="paragraph" w:styleId="ListNumber4">
    <w:name w:val="List Number 4"/>
    <w:basedOn w:val="Normal"/>
    <w:uiPriority w:val="99"/>
    <w:semiHidden/>
    <w:unhideWhenUsed/>
    <w:pPr>
      <w:numPr>
        <w:numId w:val="9"/>
      </w:numPr>
      <w:contextualSpacing/>
    </w:pPr>
  </w:style>
  <w:style w:type="paragraph" w:styleId="ListNumber5">
    <w:name w:val="List Number 5"/>
    <w:basedOn w:val="Normal"/>
    <w:uiPriority w:val="99"/>
    <w:semiHidden/>
    <w:unhideWhenUsed/>
    <w:pPr>
      <w:numPr>
        <w:numId w:val="10"/>
      </w:numPr>
      <w:contextualSpacing/>
    </w:pPr>
  </w:style>
  <w:style w:type="paragraph" w:styleId="ListParagraph">
    <w:name w:val="List Paragraph"/>
    <w:basedOn w:val="Normal"/>
    <w:uiPriority w:val="34"/>
    <w:unhideWhenUsed/>
    <w:qFormat/>
    <w:pPr>
      <w:ind w:left="720"/>
      <w:contextualSpacing/>
    </w:pPr>
  </w:style>
  <w:style w:type="table" w:styleId="ListTable1Light">
    <w:name w:val="List Table 1 Light"/>
    <w:basedOn w:val="TableNormal"/>
    <w:uiPriority w:val="46"/>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pPr>
      <w:spacing w:line="240" w:lineRule="auto"/>
    </w:p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1Light-Accent2">
    <w:name w:val="List Table 1 Light Accent 2"/>
    <w:basedOn w:val="TableNormal"/>
    <w:uiPriority w:val="46"/>
    <w:pPr>
      <w:spacing w:line="240" w:lineRule="auto"/>
    </w:pPr>
    <w:tblPr>
      <w:tblStyleRowBandSize w:val="1"/>
      <w:tblStyleColBandSize w:val="1"/>
    </w:tblPr>
    <w:tblStylePr w:type="firstRow">
      <w:rPr>
        <w:b/>
        <w:bCs/>
      </w:rPr>
      <w:tblPr/>
      <w:tcPr>
        <w:tcBorders>
          <w:bottom w:val="single" w:sz="4" w:space="0" w:color="FF6666" w:themeColor="accent2" w:themeTint="99"/>
        </w:tcBorders>
      </w:tcPr>
    </w:tblStylePr>
    <w:tblStylePr w:type="lastRow">
      <w:rPr>
        <w:b/>
        <w:bCs/>
      </w:rPr>
      <w:tblPr/>
      <w:tcPr>
        <w:tcBorders>
          <w:top w:val="single" w:sz="4" w:space="0" w:color="FF6666" w:themeColor="accent2" w:themeTint="99"/>
        </w:tcBorders>
      </w:tcPr>
    </w:tblStylePr>
    <w:tblStylePr w:type="firstCol">
      <w:rPr>
        <w:b/>
        <w:bCs/>
      </w:rPr>
    </w:tblStylePr>
    <w:tblStylePr w:type="lastCol">
      <w:rPr>
        <w:b/>
        <w:bCs/>
      </w:rPr>
    </w:tblStylePr>
    <w:tblStylePr w:type="band1Vert">
      <w:tblPr/>
      <w:tcPr>
        <w:shd w:val="clear" w:color="auto" w:fill="FFCCCC" w:themeFill="accent2" w:themeFillTint="33"/>
      </w:tcPr>
    </w:tblStylePr>
    <w:tblStylePr w:type="band1Horz">
      <w:tblPr/>
      <w:tcPr>
        <w:shd w:val="clear" w:color="auto" w:fill="FFCCCC" w:themeFill="accent2" w:themeFillTint="33"/>
      </w:tcPr>
    </w:tblStylePr>
  </w:style>
  <w:style w:type="table" w:styleId="ListTable1Light-Accent3">
    <w:name w:val="List Table 1 Light Accent 3"/>
    <w:basedOn w:val="TableNormal"/>
    <w:uiPriority w:val="46"/>
    <w:pPr>
      <w:spacing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pPr>
      <w:spacing w:line="240" w:lineRule="auto"/>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1Light-Accent5">
    <w:name w:val="List Table 1 Light Accent 5"/>
    <w:basedOn w:val="TableNormal"/>
    <w:uiPriority w:val="46"/>
    <w:pPr>
      <w:spacing w:line="240" w:lineRule="auto"/>
    </w:pPr>
    <w:tblPr>
      <w:tblStyleRowBandSize w:val="1"/>
      <w:tblStyleColBandSize w:val="1"/>
    </w:tblPr>
    <w:tblStylePr w:type="firstRow">
      <w:rPr>
        <w:b/>
        <w:bCs/>
      </w:rPr>
      <w:tblPr/>
      <w:tcPr>
        <w:tcBorders>
          <w:bottom w:val="single" w:sz="4" w:space="0" w:color="6C95D6" w:themeColor="accent5" w:themeTint="99"/>
        </w:tcBorders>
      </w:tcPr>
    </w:tblStylePr>
    <w:tblStylePr w:type="lastRow">
      <w:rPr>
        <w:b/>
        <w:bCs/>
      </w:rPr>
      <w:tblPr/>
      <w:tcPr>
        <w:tcBorders>
          <w:top w:val="single" w:sz="4" w:space="0" w:color="6C95D6" w:themeColor="accent5" w:themeTint="99"/>
        </w:tcBorders>
      </w:tcPr>
    </w:tblStylePr>
    <w:tblStylePr w:type="firstCol">
      <w:rPr>
        <w:b/>
        <w:bCs/>
      </w:rPr>
    </w:tblStylePr>
    <w:tblStylePr w:type="lastCol">
      <w:rPr>
        <w:b/>
        <w:bCs/>
      </w:rPr>
    </w:tblStylePr>
    <w:tblStylePr w:type="band1Vert">
      <w:tblPr/>
      <w:tcPr>
        <w:shd w:val="clear" w:color="auto" w:fill="CEDBF1" w:themeFill="accent5" w:themeFillTint="33"/>
      </w:tcPr>
    </w:tblStylePr>
    <w:tblStylePr w:type="band1Horz">
      <w:tblPr/>
      <w:tcPr>
        <w:shd w:val="clear" w:color="auto" w:fill="CEDBF1" w:themeFill="accent5" w:themeFillTint="33"/>
      </w:tcPr>
    </w:tblStylePr>
  </w:style>
  <w:style w:type="table" w:styleId="ListTable1Light-Accent6">
    <w:name w:val="List Table 1 Light Accent 6"/>
    <w:basedOn w:val="TableNormal"/>
    <w:uiPriority w:val="46"/>
    <w:pPr>
      <w:spacing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pPr>
      <w:spacing w:line="240" w:lineRule="auto"/>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2-Accent2">
    <w:name w:val="List Table 2 Accent 2"/>
    <w:basedOn w:val="TableNormal"/>
    <w:uiPriority w:val="47"/>
    <w:pPr>
      <w:spacing w:line="240" w:lineRule="auto"/>
    </w:pPr>
    <w:tblPr>
      <w:tblStyleRowBandSize w:val="1"/>
      <w:tblStyleColBandSize w:val="1"/>
      <w:tblBorders>
        <w:top w:val="single" w:sz="4" w:space="0" w:color="FF6666" w:themeColor="accent2" w:themeTint="99"/>
        <w:bottom w:val="single" w:sz="4" w:space="0" w:color="FF6666" w:themeColor="accent2" w:themeTint="99"/>
        <w:insideH w:val="single" w:sz="4" w:space="0" w:color="FF6666"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CCCC" w:themeFill="accent2" w:themeFillTint="33"/>
      </w:tcPr>
    </w:tblStylePr>
    <w:tblStylePr w:type="band1Horz">
      <w:tblPr/>
      <w:tcPr>
        <w:shd w:val="clear" w:color="auto" w:fill="FFCCCC" w:themeFill="accent2" w:themeFillTint="33"/>
      </w:tcPr>
    </w:tblStylePr>
  </w:style>
  <w:style w:type="table" w:styleId="ListTable2-Accent3">
    <w:name w:val="List Table 2 Accent 3"/>
    <w:basedOn w:val="TableNormal"/>
    <w:uiPriority w:val="47"/>
    <w:pPr>
      <w:spacing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pPr>
      <w:spacing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2-Accent5">
    <w:name w:val="List Table 2 Accent 5"/>
    <w:basedOn w:val="TableNormal"/>
    <w:uiPriority w:val="47"/>
    <w:pPr>
      <w:spacing w:line="240" w:lineRule="auto"/>
    </w:pPr>
    <w:tblPr>
      <w:tblStyleRowBandSize w:val="1"/>
      <w:tblStyleColBandSize w:val="1"/>
      <w:tblBorders>
        <w:top w:val="single" w:sz="4" w:space="0" w:color="6C95D6" w:themeColor="accent5" w:themeTint="99"/>
        <w:bottom w:val="single" w:sz="4" w:space="0" w:color="6C95D6" w:themeColor="accent5" w:themeTint="99"/>
        <w:insideH w:val="single" w:sz="4" w:space="0" w:color="6C95D6"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EDBF1" w:themeFill="accent5" w:themeFillTint="33"/>
      </w:tcPr>
    </w:tblStylePr>
    <w:tblStylePr w:type="band1Horz">
      <w:tblPr/>
      <w:tcPr>
        <w:shd w:val="clear" w:color="auto" w:fill="CEDBF1" w:themeFill="accent5" w:themeFillTint="33"/>
      </w:tcPr>
    </w:tblStylePr>
  </w:style>
  <w:style w:type="table" w:styleId="ListTable2-Accent6">
    <w:name w:val="List Table 2 Accent 6"/>
    <w:basedOn w:val="TableNormal"/>
    <w:uiPriority w:val="47"/>
    <w:pPr>
      <w:spacing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pPr>
      <w:spacing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stTable3-Accent2">
    <w:name w:val="List Table 3 Accent 2"/>
    <w:basedOn w:val="TableNormal"/>
    <w:uiPriority w:val="48"/>
    <w:pPr>
      <w:spacing w:line="240" w:lineRule="auto"/>
    </w:pPr>
    <w:tblPr>
      <w:tblStyleRowBandSize w:val="1"/>
      <w:tblStyleColBandSize w:val="1"/>
      <w:tblBorders>
        <w:top w:val="single" w:sz="4" w:space="0" w:color="FF0000" w:themeColor="accent2"/>
        <w:left w:val="single" w:sz="4" w:space="0" w:color="FF0000" w:themeColor="accent2"/>
        <w:bottom w:val="single" w:sz="4" w:space="0" w:color="FF0000" w:themeColor="accent2"/>
        <w:right w:val="single" w:sz="4" w:space="0" w:color="FF0000" w:themeColor="accent2"/>
      </w:tblBorders>
    </w:tblPr>
    <w:tblStylePr w:type="firstRow">
      <w:rPr>
        <w:b/>
        <w:bCs/>
        <w:color w:val="FFFFFF" w:themeColor="background1"/>
      </w:rPr>
      <w:tblPr/>
      <w:tcPr>
        <w:shd w:val="clear" w:color="auto" w:fill="FF0000" w:themeFill="accent2"/>
      </w:tcPr>
    </w:tblStylePr>
    <w:tblStylePr w:type="lastRow">
      <w:rPr>
        <w:b/>
        <w:bCs/>
      </w:rPr>
      <w:tblPr/>
      <w:tcPr>
        <w:tcBorders>
          <w:top w:val="double" w:sz="4" w:space="0" w:color="FF0000"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0000" w:themeColor="accent2"/>
          <w:right w:val="single" w:sz="4" w:space="0" w:color="FF0000" w:themeColor="accent2"/>
        </w:tcBorders>
      </w:tcPr>
    </w:tblStylePr>
    <w:tblStylePr w:type="band1Horz">
      <w:tblPr/>
      <w:tcPr>
        <w:tcBorders>
          <w:top w:val="single" w:sz="4" w:space="0" w:color="FF0000" w:themeColor="accent2"/>
          <w:bottom w:val="single" w:sz="4" w:space="0" w:color="FF000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0000" w:themeColor="accent2"/>
          <w:left w:val="nil"/>
        </w:tcBorders>
      </w:tcPr>
    </w:tblStylePr>
    <w:tblStylePr w:type="swCell">
      <w:tblPr/>
      <w:tcPr>
        <w:tcBorders>
          <w:top w:val="double" w:sz="4" w:space="0" w:color="FF0000" w:themeColor="accent2"/>
          <w:right w:val="nil"/>
        </w:tcBorders>
      </w:tcPr>
    </w:tblStylePr>
  </w:style>
  <w:style w:type="table" w:styleId="ListTable3-Accent3">
    <w:name w:val="List Table 3 Accent 3"/>
    <w:basedOn w:val="TableNormal"/>
    <w:uiPriority w:val="48"/>
    <w:pPr>
      <w:spacing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pPr>
      <w:spacing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Table3-Accent5">
    <w:name w:val="List Table 3 Accent 5"/>
    <w:basedOn w:val="TableNormal"/>
    <w:uiPriority w:val="48"/>
    <w:pPr>
      <w:spacing w:line="240" w:lineRule="auto"/>
    </w:pPr>
    <w:tblPr>
      <w:tblStyleRowBandSize w:val="1"/>
      <w:tblStyleColBandSize w:val="1"/>
      <w:tblBorders>
        <w:top w:val="single" w:sz="4" w:space="0" w:color="2B579A" w:themeColor="accent5"/>
        <w:left w:val="single" w:sz="4" w:space="0" w:color="2B579A" w:themeColor="accent5"/>
        <w:bottom w:val="single" w:sz="4" w:space="0" w:color="2B579A" w:themeColor="accent5"/>
        <w:right w:val="single" w:sz="4" w:space="0" w:color="2B579A" w:themeColor="accent5"/>
      </w:tblBorders>
    </w:tblPr>
    <w:tblStylePr w:type="firstRow">
      <w:rPr>
        <w:b/>
        <w:bCs/>
        <w:color w:val="FFFFFF" w:themeColor="background1"/>
      </w:rPr>
      <w:tblPr/>
      <w:tcPr>
        <w:shd w:val="clear" w:color="auto" w:fill="2B579A" w:themeFill="accent5"/>
      </w:tcPr>
    </w:tblStylePr>
    <w:tblStylePr w:type="lastRow">
      <w:rPr>
        <w:b/>
        <w:bCs/>
      </w:rPr>
      <w:tblPr/>
      <w:tcPr>
        <w:tcBorders>
          <w:top w:val="double" w:sz="4" w:space="0" w:color="2B579A"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B579A" w:themeColor="accent5"/>
          <w:right w:val="single" w:sz="4" w:space="0" w:color="2B579A" w:themeColor="accent5"/>
        </w:tcBorders>
      </w:tcPr>
    </w:tblStylePr>
    <w:tblStylePr w:type="band1Horz">
      <w:tblPr/>
      <w:tcPr>
        <w:tcBorders>
          <w:top w:val="single" w:sz="4" w:space="0" w:color="2B579A" w:themeColor="accent5"/>
          <w:bottom w:val="single" w:sz="4" w:space="0" w:color="2B579A"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B579A" w:themeColor="accent5"/>
          <w:left w:val="nil"/>
        </w:tcBorders>
      </w:tcPr>
    </w:tblStylePr>
    <w:tblStylePr w:type="swCell">
      <w:tblPr/>
      <w:tcPr>
        <w:tcBorders>
          <w:top w:val="double" w:sz="4" w:space="0" w:color="2B579A" w:themeColor="accent5"/>
          <w:right w:val="nil"/>
        </w:tcBorders>
      </w:tcPr>
    </w:tblStylePr>
  </w:style>
  <w:style w:type="table" w:styleId="ListTable3-Accent6">
    <w:name w:val="List Table 3 Accent 6"/>
    <w:basedOn w:val="TableNormal"/>
    <w:uiPriority w:val="48"/>
    <w:pPr>
      <w:spacing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pPr>
      <w:spacing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4-Accent2">
    <w:name w:val="List Table 4 Accent 2"/>
    <w:basedOn w:val="TableNormal"/>
    <w:uiPriority w:val="49"/>
    <w:pPr>
      <w:spacing w:line="240" w:lineRule="auto"/>
    </w:pPr>
    <w:tblPr>
      <w:tblStyleRowBandSize w:val="1"/>
      <w:tblStyleColBandSize w:val="1"/>
      <w:tblBorders>
        <w:top w:val="single" w:sz="4" w:space="0" w:color="FF6666" w:themeColor="accent2" w:themeTint="99"/>
        <w:left w:val="single" w:sz="4" w:space="0" w:color="FF6666" w:themeColor="accent2" w:themeTint="99"/>
        <w:bottom w:val="single" w:sz="4" w:space="0" w:color="FF6666" w:themeColor="accent2" w:themeTint="99"/>
        <w:right w:val="single" w:sz="4" w:space="0" w:color="FF6666" w:themeColor="accent2" w:themeTint="99"/>
        <w:insideH w:val="single" w:sz="4" w:space="0" w:color="FF6666" w:themeColor="accent2" w:themeTint="99"/>
      </w:tblBorders>
    </w:tblPr>
    <w:tblStylePr w:type="firstRow">
      <w:rPr>
        <w:b/>
        <w:bCs/>
        <w:color w:val="FFFFFF" w:themeColor="background1"/>
      </w:rPr>
      <w:tblPr/>
      <w:tcPr>
        <w:tcBorders>
          <w:top w:val="single" w:sz="4" w:space="0" w:color="FF0000" w:themeColor="accent2"/>
          <w:left w:val="single" w:sz="4" w:space="0" w:color="FF0000" w:themeColor="accent2"/>
          <w:bottom w:val="single" w:sz="4" w:space="0" w:color="FF0000" w:themeColor="accent2"/>
          <w:right w:val="single" w:sz="4" w:space="0" w:color="FF0000" w:themeColor="accent2"/>
          <w:insideH w:val="nil"/>
        </w:tcBorders>
        <w:shd w:val="clear" w:color="auto" w:fill="FF0000" w:themeFill="accent2"/>
      </w:tcPr>
    </w:tblStylePr>
    <w:tblStylePr w:type="lastRow">
      <w:rPr>
        <w:b/>
        <w:bCs/>
      </w:rPr>
      <w:tblPr/>
      <w:tcPr>
        <w:tcBorders>
          <w:top w:val="double" w:sz="4" w:space="0" w:color="FF6666" w:themeColor="accent2" w:themeTint="99"/>
        </w:tcBorders>
      </w:tcPr>
    </w:tblStylePr>
    <w:tblStylePr w:type="firstCol">
      <w:rPr>
        <w:b/>
        <w:bCs/>
      </w:rPr>
    </w:tblStylePr>
    <w:tblStylePr w:type="lastCol">
      <w:rPr>
        <w:b/>
        <w:bCs/>
      </w:rPr>
    </w:tblStylePr>
    <w:tblStylePr w:type="band1Vert">
      <w:tblPr/>
      <w:tcPr>
        <w:shd w:val="clear" w:color="auto" w:fill="FFCCCC" w:themeFill="accent2" w:themeFillTint="33"/>
      </w:tcPr>
    </w:tblStylePr>
    <w:tblStylePr w:type="band1Horz">
      <w:tblPr/>
      <w:tcPr>
        <w:shd w:val="clear" w:color="auto" w:fill="FFCCCC" w:themeFill="accent2" w:themeFillTint="33"/>
      </w:tcPr>
    </w:tblStylePr>
  </w:style>
  <w:style w:type="table" w:styleId="ListTable4-Accent3">
    <w:name w:val="List Table 4 Accent 3"/>
    <w:basedOn w:val="TableNormal"/>
    <w:uiPriority w:val="49"/>
    <w:pPr>
      <w:spacing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pPr>
      <w:spacing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4-Accent5">
    <w:name w:val="List Table 4 Accent 5"/>
    <w:basedOn w:val="TableNormal"/>
    <w:uiPriority w:val="49"/>
    <w:pPr>
      <w:spacing w:line="240" w:lineRule="auto"/>
    </w:pPr>
    <w:tblPr>
      <w:tblStyleRowBandSize w:val="1"/>
      <w:tblStyleColBandSize w:val="1"/>
      <w:tblBorders>
        <w:top w:val="single" w:sz="4" w:space="0" w:color="6C95D6" w:themeColor="accent5" w:themeTint="99"/>
        <w:left w:val="single" w:sz="4" w:space="0" w:color="6C95D6" w:themeColor="accent5" w:themeTint="99"/>
        <w:bottom w:val="single" w:sz="4" w:space="0" w:color="6C95D6" w:themeColor="accent5" w:themeTint="99"/>
        <w:right w:val="single" w:sz="4" w:space="0" w:color="6C95D6" w:themeColor="accent5" w:themeTint="99"/>
        <w:insideH w:val="single" w:sz="4" w:space="0" w:color="6C95D6" w:themeColor="accent5" w:themeTint="99"/>
      </w:tblBorders>
    </w:tblPr>
    <w:tblStylePr w:type="firstRow">
      <w:rPr>
        <w:b/>
        <w:bCs/>
        <w:color w:val="FFFFFF" w:themeColor="background1"/>
      </w:rPr>
      <w:tblPr/>
      <w:tcPr>
        <w:tcBorders>
          <w:top w:val="single" w:sz="4" w:space="0" w:color="2B579A" w:themeColor="accent5"/>
          <w:left w:val="single" w:sz="4" w:space="0" w:color="2B579A" w:themeColor="accent5"/>
          <w:bottom w:val="single" w:sz="4" w:space="0" w:color="2B579A" w:themeColor="accent5"/>
          <w:right w:val="single" w:sz="4" w:space="0" w:color="2B579A" w:themeColor="accent5"/>
          <w:insideH w:val="nil"/>
        </w:tcBorders>
        <w:shd w:val="clear" w:color="auto" w:fill="2B579A" w:themeFill="accent5"/>
      </w:tcPr>
    </w:tblStylePr>
    <w:tblStylePr w:type="lastRow">
      <w:rPr>
        <w:b/>
        <w:bCs/>
      </w:rPr>
      <w:tblPr/>
      <w:tcPr>
        <w:tcBorders>
          <w:top w:val="double" w:sz="4" w:space="0" w:color="6C95D6" w:themeColor="accent5" w:themeTint="99"/>
        </w:tcBorders>
      </w:tcPr>
    </w:tblStylePr>
    <w:tblStylePr w:type="firstCol">
      <w:rPr>
        <w:b/>
        <w:bCs/>
      </w:rPr>
    </w:tblStylePr>
    <w:tblStylePr w:type="lastCol">
      <w:rPr>
        <w:b/>
        <w:bCs/>
      </w:rPr>
    </w:tblStylePr>
    <w:tblStylePr w:type="band1Vert">
      <w:tblPr/>
      <w:tcPr>
        <w:shd w:val="clear" w:color="auto" w:fill="CEDBF1" w:themeFill="accent5" w:themeFillTint="33"/>
      </w:tcPr>
    </w:tblStylePr>
    <w:tblStylePr w:type="band1Horz">
      <w:tblPr/>
      <w:tcPr>
        <w:shd w:val="clear" w:color="auto" w:fill="CEDBF1" w:themeFill="accent5" w:themeFillTint="33"/>
      </w:tcPr>
    </w:tblStylePr>
  </w:style>
  <w:style w:type="table" w:styleId="ListTable4-Accent6">
    <w:name w:val="List Table 4 Accent 6"/>
    <w:basedOn w:val="TableNormal"/>
    <w:uiPriority w:val="49"/>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pPr>
      <w:spacing w:line="240" w:lineRule="auto"/>
    </w:pPr>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pPr>
      <w:spacing w:line="240" w:lineRule="auto"/>
    </w:pPr>
    <w:rPr>
      <w:color w:val="FFFFFF" w:themeColor="background1"/>
    </w:rPr>
    <w:tblPr>
      <w:tblStyleRowBandSize w:val="1"/>
      <w:tblStyleColBandSize w:val="1"/>
      <w:tblBorders>
        <w:top w:val="single" w:sz="24" w:space="0" w:color="FF0000" w:themeColor="accent2"/>
        <w:left w:val="single" w:sz="24" w:space="0" w:color="FF0000" w:themeColor="accent2"/>
        <w:bottom w:val="single" w:sz="24" w:space="0" w:color="FF0000" w:themeColor="accent2"/>
        <w:right w:val="single" w:sz="24" w:space="0" w:color="FF0000" w:themeColor="accent2"/>
      </w:tblBorders>
    </w:tblPr>
    <w:tcPr>
      <w:shd w:val="clear" w:color="auto" w:fill="FF0000"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pPr>
      <w:spacing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pPr>
      <w:spacing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pPr>
      <w:spacing w:line="240" w:lineRule="auto"/>
    </w:pPr>
    <w:rPr>
      <w:color w:val="FFFFFF" w:themeColor="background1"/>
    </w:rPr>
    <w:tblPr>
      <w:tblStyleRowBandSize w:val="1"/>
      <w:tblStyleColBandSize w:val="1"/>
      <w:tblBorders>
        <w:top w:val="single" w:sz="24" w:space="0" w:color="2B579A" w:themeColor="accent5"/>
        <w:left w:val="single" w:sz="24" w:space="0" w:color="2B579A" w:themeColor="accent5"/>
        <w:bottom w:val="single" w:sz="24" w:space="0" w:color="2B579A" w:themeColor="accent5"/>
        <w:right w:val="single" w:sz="24" w:space="0" w:color="2B579A" w:themeColor="accent5"/>
      </w:tblBorders>
    </w:tblPr>
    <w:tcPr>
      <w:shd w:val="clear" w:color="auto" w:fill="2B579A"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pPr>
      <w:spacing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pPr>
      <w:spacing w:line="240" w:lineRule="auto"/>
    </w:pPr>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6Colorful-Accent2">
    <w:name w:val="List Table 6 Colorful Accent 2"/>
    <w:basedOn w:val="TableNormal"/>
    <w:uiPriority w:val="51"/>
    <w:pPr>
      <w:spacing w:line="240" w:lineRule="auto"/>
    </w:pPr>
    <w:rPr>
      <w:color w:val="BF0000" w:themeColor="accent2" w:themeShade="BF"/>
    </w:rPr>
    <w:tblPr>
      <w:tblStyleRowBandSize w:val="1"/>
      <w:tblStyleColBandSize w:val="1"/>
      <w:tblBorders>
        <w:top w:val="single" w:sz="4" w:space="0" w:color="FF0000" w:themeColor="accent2"/>
        <w:bottom w:val="single" w:sz="4" w:space="0" w:color="FF0000" w:themeColor="accent2"/>
      </w:tblBorders>
    </w:tblPr>
    <w:tblStylePr w:type="firstRow">
      <w:rPr>
        <w:b/>
        <w:bCs/>
      </w:rPr>
      <w:tblPr/>
      <w:tcPr>
        <w:tcBorders>
          <w:bottom w:val="single" w:sz="4" w:space="0" w:color="FF0000" w:themeColor="accent2"/>
        </w:tcBorders>
      </w:tcPr>
    </w:tblStylePr>
    <w:tblStylePr w:type="lastRow">
      <w:rPr>
        <w:b/>
        <w:bCs/>
      </w:rPr>
      <w:tblPr/>
      <w:tcPr>
        <w:tcBorders>
          <w:top w:val="double" w:sz="4" w:space="0" w:color="FF0000" w:themeColor="accent2"/>
        </w:tcBorders>
      </w:tcPr>
    </w:tblStylePr>
    <w:tblStylePr w:type="firstCol">
      <w:rPr>
        <w:b/>
        <w:bCs/>
      </w:rPr>
    </w:tblStylePr>
    <w:tblStylePr w:type="lastCol">
      <w:rPr>
        <w:b/>
        <w:bCs/>
      </w:rPr>
    </w:tblStylePr>
    <w:tblStylePr w:type="band1Vert">
      <w:tblPr/>
      <w:tcPr>
        <w:shd w:val="clear" w:color="auto" w:fill="FFCCCC" w:themeFill="accent2" w:themeFillTint="33"/>
      </w:tcPr>
    </w:tblStylePr>
    <w:tblStylePr w:type="band1Horz">
      <w:tblPr/>
      <w:tcPr>
        <w:shd w:val="clear" w:color="auto" w:fill="FFCCCC" w:themeFill="accent2" w:themeFillTint="33"/>
      </w:tcPr>
    </w:tblStylePr>
  </w:style>
  <w:style w:type="table" w:styleId="ListTable6Colorful-Accent3">
    <w:name w:val="List Table 6 Colorful Accent 3"/>
    <w:basedOn w:val="TableNormal"/>
    <w:uiPriority w:val="51"/>
    <w:pPr>
      <w:spacing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pPr>
      <w:spacing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6Colorful-Accent5">
    <w:name w:val="List Table 6 Colorful Accent 5"/>
    <w:basedOn w:val="TableNormal"/>
    <w:uiPriority w:val="51"/>
    <w:pPr>
      <w:spacing w:line="240" w:lineRule="auto"/>
    </w:pPr>
    <w:rPr>
      <w:color w:val="204173" w:themeColor="accent5" w:themeShade="BF"/>
    </w:rPr>
    <w:tblPr>
      <w:tblStyleRowBandSize w:val="1"/>
      <w:tblStyleColBandSize w:val="1"/>
      <w:tblBorders>
        <w:top w:val="single" w:sz="4" w:space="0" w:color="2B579A" w:themeColor="accent5"/>
        <w:bottom w:val="single" w:sz="4" w:space="0" w:color="2B579A" w:themeColor="accent5"/>
      </w:tblBorders>
    </w:tblPr>
    <w:tblStylePr w:type="firstRow">
      <w:rPr>
        <w:b/>
        <w:bCs/>
      </w:rPr>
      <w:tblPr/>
      <w:tcPr>
        <w:tcBorders>
          <w:bottom w:val="single" w:sz="4" w:space="0" w:color="2B579A" w:themeColor="accent5"/>
        </w:tcBorders>
      </w:tcPr>
    </w:tblStylePr>
    <w:tblStylePr w:type="lastRow">
      <w:rPr>
        <w:b/>
        <w:bCs/>
      </w:rPr>
      <w:tblPr/>
      <w:tcPr>
        <w:tcBorders>
          <w:top w:val="double" w:sz="4" w:space="0" w:color="2B579A" w:themeColor="accent5"/>
        </w:tcBorders>
      </w:tcPr>
    </w:tblStylePr>
    <w:tblStylePr w:type="firstCol">
      <w:rPr>
        <w:b/>
        <w:bCs/>
      </w:rPr>
    </w:tblStylePr>
    <w:tblStylePr w:type="lastCol">
      <w:rPr>
        <w:b/>
        <w:bCs/>
      </w:rPr>
    </w:tblStylePr>
    <w:tblStylePr w:type="band1Vert">
      <w:tblPr/>
      <w:tcPr>
        <w:shd w:val="clear" w:color="auto" w:fill="CEDBF1" w:themeFill="accent5" w:themeFillTint="33"/>
      </w:tcPr>
    </w:tblStylePr>
    <w:tblStylePr w:type="band1Horz">
      <w:tblPr/>
      <w:tcPr>
        <w:shd w:val="clear" w:color="auto" w:fill="CEDBF1" w:themeFill="accent5" w:themeFillTint="33"/>
      </w:tcPr>
    </w:tblStylePr>
  </w:style>
  <w:style w:type="table" w:styleId="ListTable6Colorful-Accent6">
    <w:name w:val="List Table 6 Colorful Accent 6"/>
    <w:basedOn w:val="TableNormal"/>
    <w:uiPriority w:val="51"/>
    <w:pPr>
      <w:spacing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pPr>
      <w:spacing w:line="240" w:lineRule="auto"/>
    </w:pPr>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pPr>
      <w:spacing w:line="240" w:lineRule="auto"/>
    </w:pPr>
    <w:rPr>
      <w:color w:val="BF00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0000"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0000"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0000"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0000" w:themeColor="accent2"/>
        </w:tcBorders>
        <w:shd w:val="clear" w:color="auto" w:fill="FFFFFF" w:themeFill="background1"/>
      </w:tcPr>
    </w:tblStylePr>
    <w:tblStylePr w:type="band1Vert">
      <w:tblPr/>
      <w:tcPr>
        <w:shd w:val="clear" w:color="auto" w:fill="FFCCCC" w:themeFill="accent2" w:themeFillTint="33"/>
      </w:tcPr>
    </w:tblStylePr>
    <w:tblStylePr w:type="band1Horz">
      <w:tblPr/>
      <w:tcPr>
        <w:shd w:val="clear" w:color="auto" w:fill="FFCCCC"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pPr>
      <w:spacing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pPr>
      <w:spacing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pPr>
      <w:spacing w:line="240" w:lineRule="auto"/>
    </w:pPr>
    <w:rPr>
      <w:color w:val="204173"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B579A"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B579A"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B579A"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B579A" w:themeColor="accent5"/>
        </w:tcBorders>
        <w:shd w:val="clear" w:color="auto" w:fill="FFFFFF" w:themeFill="background1"/>
      </w:tcPr>
    </w:tblStylePr>
    <w:tblStylePr w:type="band1Vert">
      <w:tblPr/>
      <w:tcPr>
        <w:shd w:val="clear" w:color="auto" w:fill="CEDBF1" w:themeFill="accent5" w:themeFillTint="33"/>
      </w:tcPr>
    </w:tblStylePr>
    <w:tblStylePr w:type="band1Horz">
      <w:tblPr/>
      <w:tcPr>
        <w:shd w:val="clear" w:color="auto" w:fill="CEDBF1"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pPr>
      <w:spacing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Pr>
      <w:rFonts w:ascii="Consolas" w:hAnsi="Consolas"/>
      <w:szCs w:val="20"/>
    </w:rPr>
  </w:style>
  <w:style w:type="table" w:styleId="MediumGrid1">
    <w:name w:val="Medium Grid 1"/>
    <w:basedOn w:val="TableNormal"/>
    <w:uiPriority w:val="67"/>
    <w:semiHidden/>
    <w:unhideWhenUsed/>
    <w:pPr>
      <w:spacing w:before="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pPr>
      <w:spacing w:before="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MediumGrid1-Accent2">
    <w:name w:val="Medium Grid 1 Accent 2"/>
    <w:basedOn w:val="TableNormal"/>
    <w:uiPriority w:val="67"/>
    <w:semiHidden/>
    <w:unhideWhenUsed/>
    <w:pPr>
      <w:spacing w:before="0" w:line="240" w:lineRule="auto"/>
    </w:pPr>
    <w:tblPr>
      <w:tblStyleRowBandSize w:val="1"/>
      <w:tblStyleColBandSize w:val="1"/>
      <w:tblBorders>
        <w:top w:val="single" w:sz="8" w:space="0" w:color="FF4040" w:themeColor="accent2" w:themeTint="BF"/>
        <w:left w:val="single" w:sz="8" w:space="0" w:color="FF4040" w:themeColor="accent2" w:themeTint="BF"/>
        <w:bottom w:val="single" w:sz="8" w:space="0" w:color="FF4040" w:themeColor="accent2" w:themeTint="BF"/>
        <w:right w:val="single" w:sz="8" w:space="0" w:color="FF4040" w:themeColor="accent2" w:themeTint="BF"/>
        <w:insideH w:val="single" w:sz="8" w:space="0" w:color="FF4040" w:themeColor="accent2" w:themeTint="BF"/>
        <w:insideV w:val="single" w:sz="8" w:space="0" w:color="FF4040" w:themeColor="accent2" w:themeTint="BF"/>
      </w:tblBorders>
    </w:tblPr>
    <w:tcPr>
      <w:shd w:val="clear" w:color="auto" w:fill="FFC0C0" w:themeFill="accent2" w:themeFillTint="3F"/>
    </w:tcPr>
    <w:tblStylePr w:type="firstRow">
      <w:rPr>
        <w:b/>
        <w:bCs/>
      </w:rPr>
    </w:tblStylePr>
    <w:tblStylePr w:type="lastRow">
      <w:rPr>
        <w:b/>
        <w:bCs/>
      </w:rPr>
      <w:tblPr/>
      <w:tcPr>
        <w:tcBorders>
          <w:top w:val="single" w:sz="18" w:space="0" w:color="FF4040" w:themeColor="accent2" w:themeTint="BF"/>
        </w:tcBorders>
      </w:tcPr>
    </w:tblStylePr>
    <w:tblStylePr w:type="firstCol">
      <w:rPr>
        <w:b/>
        <w:bCs/>
      </w:rPr>
    </w:tblStylePr>
    <w:tblStylePr w:type="lastCol">
      <w:rPr>
        <w:b/>
        <w:bCs/>
      </w:rPr>
    </w:tblStylePr>
    <w:tblStylePr w:type="band1Vert">
      <w:tblPr/>
      <w:tcPr>
        <w:shd w:val="clear" w:color="auto" w:fill="FF8080" w:themeFill="accent2" w:themeFillTint="7F"/>
      </w:tcPr>
    </w:tblStylePr>
    <w:tblStylePr w:type="band1Horz">
      <w:tblPr/>
      <w:tcPr>
        <w:shd w:val="clear" w:color="auto" w:fill="FF8080" w:themeFill="accent2" w:themeFillTint="7F"/>
      </w:tcPr>
    </w:tblStylePr>
  </w:style>
  <w:style w:type="table" w:styleId="MediumGrid1-Accent3">
    <w:name w:val="Medium Grid 1 Accent 3"/>
    <w:basedOn w:val="TableNormal"/>
    <w:uiPriority w:val="67"/>
    <w:semiHidden/>
    <w:unhideWhenUsed/>
    <w:pPr>
      <w:spacing w:before="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pPr>
      <w:spacing w:before="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semiHidden/>
    <w:unhideWhenUsed/>
    <w:pPr>
      <w:spacing w:before="0" w:line="240" w:lineRule="auto"/>
    </w:pPr>
    <w:tblPr>
      <w:tblStyleRowBandSize w:val="1"/>
      <w:tblStyleColBandSize w:val="1"/>
      <w:tblBorders>
        <w:top w:val="single" w:sz="8" w:space="0" w:color="477BCB" w:themeColor="accent5" w:themeTint="BF"/>
        <w:left w:val="single" w:sz="8" w:space="0" w:color="477BCB" w:themeColor="accent5" w:themeTint="BF"/>
        <w:bottom w:val="single" w:sz="8" w:space="0" w:color="477BCB" w:themeColor="accent5" w:themeTint="BF"/>
        <w:right w:val="single" w:sz="8" w:space="0" w:color="477BCB" w:themeColor="accent5" w:themeTint="BF"/>
        <w:insideH w:val="single" w:sz="8" w:space="0" w:color="477BCB" w:themeColor="accent5" w:themeTint="BF"/>
        <w:insideV w:val="single" w:sz="8" w:space="0" w:color="477BCB" w:themeColor="accent5" w:themeTint="BF"/>
      </w:tblBorders>
    </w:tblPr>
    <w:tcPr>
      <w:shd w:val="clear" w:color="auto" w:fill="C2D3EE" w:themeFill="accent5" w:themeFillTint="3F"/>
    </w:tcPr>
    <w:tblStylePr w:type="firstRow">
      <w:rPr>
        <w:b/>
        <w:bCs/>
      </w:rPr>
    </w:tblStylePr>
    <w:tblStylePr w:type="lastRow">
      <w:rPr>
        <w:b/>
        <w:bCs/>
      </w:rPr>
      <w:tblPr/>
      <w:tcPr>
        <w:tcBorders>
          <w:top w:val="single" w:sz="18" w:space="0" w:color="477BCB" w:themeColor="accent5" w:themeTint="BF"/>
        </w:tcBorders>
      </w:tcPr>
    </w:tblStylePr>
    <w:tblStylePr w:type="firstCol">
      <w:rPr>
        <w:b/>
        <w:bCs/>
      </w:rPr>
    </w:tblStylePr>
    <w:tblStylePr w:type="lastCol">
      <w:rPr>
        <w:b/>
        <w:bCs/>
      </w:rPr>
    </w:tblStylePr>
    <w:tblStylePr w:type="band1Vert">
      <w:tblPr/>
      <w:tcPr>
        <w:shd w:val="clear" w:color="auto" w:fill="85A7DD" w:themeFill="accent5" w:themeFillTint="7F"/>
      </w:tcPr>
    </w:tblStylePr>
    <w:tblStylePr w:type="band1Horz">
      <w:tblPr/>
      <w:tcPr>
        <w:shd w:val="clear" w:color="auto" w:fill="85A7DD" w:themeFill="accent5" w:themeFillTint="7F"/>
      </w:tcPr>
    </w:tblStylePr>
  </w:style>
  <w:style w:type="table" w:styleId="MediumGrid1-Accent6">
    <w:name w:val="Medium Grid 1 Accent 6"/>
    <w:basedOn w:val="TableNormal"/>
    <w:uiPriority w:val="67"/>
    <w:semiHidden/>
    <w:unhideWhenUsed/>
    <w:pPr>
      <w:spacing w:before="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0000" w:themeColor="accent2"/>
        <w:left w:val="single" w:sz="8" w:space="0" w:color="FF0000" w:themeColor="accent2"/>
        <w:bottom w:val="single" w:sz="8" w:space="0" w:color="FF0000" w:themeColor="accent2"/>
        <w:right w:val="single" w:sz="8" w:space="0" w:color="FF0000" w:themeColor="accent2"/>
        <w:insideH w:val="single" w:sz="8" w:space="0" w:color="FF0000" w:themeColor="accent2"/>
        <w:insideV w:val="single" w:sz="8" w:space="0" w:color="FF0000" w:themeColor="accent2"/>
      </w:tblBorders>
    </w:tblPr>
    <w:tcPr>
      <w:shd w:val="clear" w:color="auto" w:fill="FFC0C0" w:themeFill="accent2" w:themeFillTint="3F"/>
    </w:tcPr>
    <w:tblStylePr w:type="firstRow">
      <w:rPr>
        <w:b/>
        <w:bCs/>
        <w:color w:val="000000" w:themeColor="text1"/>
      </w:rPr>
      <w:tblPr/>
      <w:tcPr>
        <w:shd w:val="clear" w:color="auto" w:fill="FFE6E6"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CCCC" w:themeFill="accent2" w:themeFillTint="33"/>
      </w:tcPr>
    </w:tblStylePr>
    <w:tblStylePr w:type="band1Vert">
      <w:tblPr/>
      <w:tcPr>
        <w:shd w:val="clear" w:color="auto" w:fill="FF8080" w:themeFill="accent2" w:themeFillTint="7F"/>
      </w:tcPr>
    </w:tblStylePr>
    <w:tblStylePr w:type="band1Horz">
      <w:tblPr/>
      <w:tcPr>
        <w:tcBorders>
          <w:insideH w:val="single" w:sz="6" w:space="0" w:color="FF0000" w:themeColor="accent2"/>
          <w:insideV w:val="single" w:sz="6" w:space="0" w:color="FF0000" w:themeColor="accent2"/>
        </w:tcBorders>
        <w:shd w:val="clear" w:color="auto" w:fill="FF8080"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B579A" w:themeColor="accent5"/>
        <w:left w:val="single" w:sz="8" w:space="0" w:color="2B579A" w:themeColor="accent5"/>
        <w:bottom w:val="single" w:sz="8" w:space="0" w:color="2B579A" w:themeColor="accent5"/>
        <w:right w:val="single" w:sz="8" w:space="0" w:color="2B579A" w:themeColor="accent5"/>
        <w:insideH w:val="single" w:sz="8" w:space="0" w:color="2B579A" w:themeColor="accent5"/>
        <w:insideV w:val="single" w:sz="8" w:space="0" w:color="2B579A" w:themeColor="accent5"/>
      </w:tblBorders>
    </w:tblPr>
    <w:tcPr>
      <w:shd w:val="clear" w:color="auto" w:fill="C2D3EE" w:themeFill="accent5" w:themeFillTint="3F"/>
    </w:tcPr>
    <w:tblStylePr w:type="firstRow">
      <w:rPr>
        <w:b/>
        <w:bCs/>
        <w:color w:val="000000" w:themeColor="text1"/>
      </w:rPr>
      <w:tblPr/>
      <w:tcPr>
        <w:shd w:val="clear" w:color="auto" w:fill="E6EDF8"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EDBF1" w:themeFill="accent5" w:themeFillTint="33"/>
      </w:tcPr>
    </w:tblStylePr>
    <w:tblStylePr w:type="band1Vert">
      <w:tblPr/>
      <w:tcPr>
        <w:shd w:val="clear" w:color="auto" w:fill="85A7DD" w:themeFill="accent5" w:themeFillTint="7F"/>
      </w:tcPr>
    </w:tblStylePr>
    <w:tblStylePr w:type="band1Horz">
      <w:tblPr/>
      <w:tcPr>
        <w:tcBorders>
          <w:insideH w:val="single" w:sz="6" w:space="0" w:color="2B579A" w:themeColor="accent5"/>
          <w:insideV w:val="single" w:sz="6" w:space="0" w:color="2B579A" w:themeColor="accent5"/>
        </w:tcBorders>
        <w:shd w:val="clear" w:color="auto" w:fill="85A7DD"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pPr>
      <w:spacing w:before="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pPr>
      <w:spacing w:before="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Grid3-Accent2">
    <w:name w:val="Medium Grid 3 Accent 2"/>
    <w:basedOn w:val="TableNormal"/>
    <w:uiPriority w:val="69"/>
    <w:semiHidden/>
    <w:unhideWhenUsed/>
    <w:pPr>
      <w:spacing w:before="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C0C0"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000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000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000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000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8080"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8080" w:themeFill="accent2" w:themeFillTint="7F"/>
      </w:tcPr>
    </w:tblStylePr>
  </w:style>
  <w:style w:type="table" w:styleId="MediumGrid3-Accent3">
    <w:name w:val="Medium Grid 3 Accent 3"/>
    <w:basedOn w:val="TableNormal"/>
    <w:uiPriority w:val="69"/>
    <w:semiHidden/>
    <w:unhideWhenUsed/>
    <w:pPr>
      <w:spacing w:before="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pPr>
      <w:spacing w:before="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semiHidden/>
    <w:unhideWhenUsed/>
    <w:pPr>
      <w:spacing w:before="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2D3EE"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B579A"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B579A"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B579A"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B579A"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5A7DD"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5A7DD" w:themeFill="accent5" w:themeFillTint="7F"/>
      </w:tcPr>
    </w:tblStylePr>
  </w:style>
  <w:style w:type="table" w:styleId="MediumGrid3-Accent6">
    <w:name w:val="Medium Grid 3 Accent 6"/>
    <w:basedOn w:val="TableNormal"/>
    <w:uiPriority w:val="69"/>
    <w:semiHidden/>
    <w:unhideWhenUsed/>
    <w:pPr>
      <w:spacing w:before="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List1">
    <w:name w:val="Medium List 1"/>
    <w:basedOn w:val="TableNormal"/>
    <w:uiPriority w:val="65"/>
    <w:semiHidden/>
    <w:unhideWhenUsed/>
    <w:pPr>
      <w:spacing w:before="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pPr>
      <w:spacing w:before="0" w:line="240" w:lineRule="auto"/>
    </w:pPr>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ediumList1-Accent2">
    <w:name w:val="Medium List 1 Accent 2"/>
    <w:basedOn w:val="TableNormal"/>
    <w:uiPriority w:val="65"/>
    <w:semiHidden/>
    <w:unhideWhenUsed/>
    <w:pPr>
      <w:spacing w:before="0" w:line="240" w:lineRule="auto"/>
    </w:pPr>
    <w:rPr>
      <w:color w:val="000000" w:themeColor="text1"/>
    </w:rPr>
    <w:tblPr>
      <w:tblStyleRowBandSize w:val="1"/>
      <w:tblStyleColBandSize w:val="1"/>
      <w:tblBorders>
        <w:top w:val="single" w:sz="8" w:space="0" w:color="FF0000" w:themeColor="accent2"/>
        <w:bottom w:val="single" w:sz="8" w:space="0" w:color="FF0000" w:themeColor="accent2"/>
      </w:tblBorders>
    </w:tblPr>
    <w:tblStylePr w:type="firstRow">
      <w:rPr>
        <w:rFonts w:asciiTheme="majorHAnsi" w:eastAsiaTheme="majorEastAsia" w:hAnsiTheme="majorHAnsi" w:cstheme="majorBidi"/>
      </w:rPr>
      <w:tblPr/>
      <w:tcPr>
        <w:tcBorders>
          <w:top w:val="nil"/>
          <w:bottom w:val="single" w:sz="8" w:space="0" w:color="FF0000" w:themeColor="accent2"/>
        </w:tcBorders>
      </w:tcPr>
    </w:tblStylePr>
    <w:tblStylePr w:type="lastRow">
      <w:rPr>
        <w:b/>
        <w:bCs/>
        <w:color w:val="44546A" w:themeColor="text2"/>
      </w:rPr>
      <w:tblPr/>
      <w:tcPr>
        <w:tcBorders>
          <w:top w:val="single" w:sz="8" w:space="0" w:color="FF0000" w:themeColor="accent2"/>
          <w:bottom w:val="single" w:sz="8" w:space="0" w:color="FF0000" w:themeColor="accent2"/>
        </w:tcBorders>
      </w:tcPr>
    </w:tblStylePr>
    <w:tblStylePr w:type="firstCol">
      <w:rPr>
        <w:b/>
        <w:bCs/>
      </w:rPr>
    </w:tblStylePr>
    <w:tblStylePr w:type="lastCol">
      <w:rPr>
        <w:b/>
        <w:bCs/>
      </w:rPr>
      <w:tblPr/>
      <w:tcPr>
        <w:tcBorders>
          <w:top w:val="single" w:sz="8" w:space="0" w:color="FF0000" w:themeColor="accent2"/>
          <w:bottom w:val="single" w:sz="8" w:space="0" w:color="FF0000" w:themeColor="accent2"/>
        </w:tcBorders>
      </w:tcPr>
    </w:tblStylePr>
    <w:tblStylePr w:type="band1Vert">
      <w:tblPr/>
      <w:tcPr>
        <w:shd w:val="clear" w:color="auto" w:fill="FFC0C0" w:themeFill="accent2" w:themeFillTint="3F"/>
      </w:tcPr>
    </w:tblStylePr>
    <w:tblStylePr w:type="band1Horz">
      <w:tblPr/>
      <w:tcPr>
        <w:shd w:val="clear" w:color="auto" w:fill="FFC0C0" w:themeFill="accent2" w:themeFillTint="3F"/>
      </w:tcPr>
    </w:tblStylePr>
  </w:style>
  <w:style w:type="table" w:styleId="MediumList1-Accent3">
    <w:name w:val="Medium List 1 Accent 3"/>
    <w:basedOn w:val="TableNormal"/>
    <w:uiPriority w:val="65"/>
    <w:semiHidden/>
    <w:unhideWhenUsed/>
    <w:pPr>
      <w:spacing w:before="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pPr>
      <w:spacing w:before="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semiHidden/>
    <w:unhideWhenUsed/>
    <w:pPr>
      <w:spacing w:before="0" w:line="240" w:lineRule="auto"/>
    </w:pPr>
    <w:rPr>
      <w:color w:val="000000" w:themeColor="text1"/>
    </w:rPr>
    <w:tblPr>
      <w:tblStyleRowBandSize w:val="1"/>
      <w:tblStyleColBandSize w:val="1"/>
      <w:tblBorders>
        <w:top w:val="single" w:sz="8" w:space="0" w:color="2B579A" w:themeColor="accent5"/>
        <w:bottom w:val="single" w:sz="8" w:space="0" w:color="2B579A" w:themeColor="accent5"/>
      </w:tblBorders>
    </w:tblPr>
    <w:tblStylePr w:type="firstRow">
      <w:rPr>
        <w:rFonts w:asciiTheme="majorHAnsi" w:eastAsiaTheme="majorEastAsia" w:hAnsiTheme="majorHAnsi" w:cstheme="majorBidi"/>
      </w:rPr>
      <w:tblPr/>
      <w:tcPr>
        <w:tcBorders>
          <w:top w:val="nil"/>
          <w:bottom w:val="single" w:sz="8" w:space="0" w:color="2B579A" w:themeColor="accent5"/>
        </w:tcBorders>
      </w:tcPr>
    </w:tblStylePr>
    <w:tblStylePr w:type="lastRow">
      <w:rPr>
        <w:b/>
        <w:bCs/>
        <w:color w:val="44546A" w:themeColor="text2"/>
      </w:rPr>
      <w:tblPr/>
      <w:tcPr>
        <w:tcBorders>
          <w:top w:val="single" w:sz="8" w:space="0" w:color="2B579A" w:themeColor="accent5"/>
          <w:bottom w:val="single" w:sz="8" w:space="0" w:color="2B579A" w:themeColor="accent5"/>
        </w:tcBorders>
      </w:tcPr>
    </w:tblStylePr>
    <w:tblStylePr w:type="firstCol">
      <w:rPr>
        <w:b/>
        <w:bCs/>
      </w:rPr>
    </w:tblStylePr>
    <w:tblStylePr w:type="lastCol">
      <w:rPr>
        <w:b/>
        <w:bCs/>
      </w:rPr>
      <w:tblPr/>
      <w:tcPr>
        <w:tcBorders>
          <w:top w:val="single" w:sz="8" w:space="0" w:color="2B579A" w:themeColor="accent5"/>
          <w:bottom w:val="single" w:sz="8" w:space="0" w:color="2B579A" w:themeColor="accent5"/>
        </w:tcBorders>
      </w:tcPr>
    </w:tblStylePr>
    <w:tblStylePr w:type="band1Vert">
      <w:tblPr/>
      <w:tcPr>
        <w:shd w:val="clear" w:color="auto" w:fill="C2D3EE" w:themeFill="accent5" w:themeFillTint="3F"/>
      </w:tcPr>
    </w:tblStylePr>
    <w:tblStylePr w:type="band1Horz">
      <w:tblPr/>
      <w:tcPr>
        <w:shd w:val="clear" w:color="auto" w:fill="C2D3EE" w:themeFill="accent5" w:themeFillTint="3F"/>
      </w:tcPr>
    </w:tblStylePr>
  </w:style>
  <w:style w:type="table" w:styleId="MediumList1-Accent6">
    <w:name w:val="Medium List 1 Accent 6"/>
    <w:basedOn w:val="TableNormal"/>
    <w:uiPriority w:val="65"/>
    <w:semiHidden/>
    <w:unhideWhenUsed/>
    <w:pPr>
      <w:spacing w:before="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0000" w:themeColor="accent2"/>
        <w:left w:val="single" w:sz="8" w:space="0" w:color="FF0000" w:themeColor="accent2"/>
        <w:bottom w:val="single" w:sz="8" w:space="0" w:color="FF0000" w:themeColor="accent2"/>
        <w:right w:val="single" w:sz="8" w:space="0" w:color="FF0000" w:themeColor="accent2"/>
      </w:tblBorders>
    </w:tblPr>
    <w:tblStylePr w:type="firstRow">
      <w:rPr>
        <w:sz w:val="24"/>
        <w:szCs w:val="24"/>
      </w:rPr>
      <w:tblPr/>
      <w:tcPr>
        <w:tcBorders>
          <w:top w:val="nil"/>
          <w:left w:val="nil"/>
          <w:bottom w:val="single" w:sz="24" w:space="0" w:color="FF0000"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0000" w:themeColor="accent2"/>
          <w:insideH w:val="nil"/>
          <w:insideV w:val="nil"/>
        </w:tcBorders>
        <w:shd w:val="clear" w:color="auto" w:fill="FFFFFF" w:themeFill="background1"/>
      </w:tcPr>
    </w:tblStylePr>
    <w:tblStylePr w:type="lastCol">
      <w:tblPr/>
      <w:tcPr>
        <w:tcBorders>
          <w:top w:val="nil"/>
          <w:left w:val="single" w:sz="8" w:space="0" w:color="FF000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C0C0" w:themeFill="accent2" w:themeFillTint="3F"/>
      </w:tcPr>
    </w:tblStylePr>
    <w:tblStylePr w:type="band1Horz">
      <w:tblPr/>
      <w:tcPr>
        <w:tcBorders>
          <w:top w:val="nil"/>
          <w:bottom w:val="nil"/>
          <w:insideH w:val="nil"/>
          <w:insideV w:val="nil"/>
        </w:tcBorders>
        <w:shd w:val="clear" w:color="auto" w:fill="FFC0C0"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B579A" w:themeColor="accent5"/>
        <w:left w:val="single" w:sz="8" w:space="0" w:color="2B579A" w:themeColor="accent5"/>
        <w:bottom w:val="single" w:sz="8" w:space="0" w:color="2B579A" w:themeColor="accent5"/>
        <w:right w:val="single" w:sz="8" w:space="0" w:color="2B579A" w:themeColor="accent5"/>
      </w:tblBorders>
    </w:tblPr>
    <w:tblStylePr w:type="firstRow">
      <w:rPr>
        <w:sz w:val="24"/>
        <w:szCs w:val="24"/>
      </w:rPr>
      <w:tblPr/>
      <w:tcPr>
        <w:tcBorders>
          <w:top w:val="nil"/>
          <w:left w:val="nil"/>
          <w:bottom w:val="single" w:sz="24" w:space="0" w:color="2B579A"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B579A" w:themeColor="accent5"/>
          <w:insideH w:val="nil"/>
          <w:insideV w:val="nil"/>
        </w:tcBorders>
        <w:shd w:val="clear" w:color="auto" w:fill="FFFFFF" w:themeFill="background1"/>
      </w:tcPr>
    </w:tblStylePr>
    <w:tblStylePr w:type="lastCol">
      <w:tblPr/>
      <w:tcPr>
        <w:tcBorders>
          <w:top w:val="nil"/>
          <w:left w:val="single" w:sz="8" w:space="0" w:color="2B579A"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2D3EE" w:themeFill="accent5" w:themeFillTint="3F"/>
      </w:tcPr>
    </w:tblStylePr>
    <w:tblStylePr w:type="band1Horz">
      <w:tblPr/>
      <w:tcPr>
        <w:tcBorders>
          <w:top w:val="nil"/>
          <w:bottom w:val="nil"/>
          <w:insideH w:val="nil"/>
          <w:insideV w:val="nil"/>
        </w:tcBorders>
        <w:shd w:val="clear" w:color="auto" w:fill="C2D3EE"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pPr>
      <w:spacing w:before="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pPr>
      <w:spacing w:before="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pPr>
      <w:spacing w:before="0" w:line="240" w:lineRule="auto"/>
    </w:pPr>
    <w:tblPr>
      <w:tblStyleRowBandSize w:val="1"/>
      <w:tblStyleColBandSize w:val="1"/>
      <w:tblBorders>
        <w:top w:val="single" w:sz="8" w:space="0" w:color="FF4040" w:themeColor="accent2" w:themeTint="BF"/>
        <w:left w:val="single" w:sz="8" w:space="0" w:color="FF4040" w:themeColor="accent2" w:themeTint="BF"/>
        <w:bottom w:val="single" w:sz="8" w:space="0" w:color="FF4040" w:themeColor="accent2" w:themeTint="BF"/>
        <w:right w:val="single" w:sz="8" w:space="0" w:color="FF4040" w:themeColor="accent2" w:themeTint="BF"/>
        <w:insideH w:val="single" w:sz="8" w:space="0" w:color="FF4040" w:themeColor="accent2" w:themeTint="BF"/>
      </w:tblBorders>
    </w:tblPr>
    <w:tblStylePr w:type="firstRow">
      <w:pPr>
        <w:spacing w:before="0" w:after="0" w:line="240" w:lineRule="auto"/>
      </w:pPr>
      <w:rPr>
        <w:b/>
        <w:bCs/>
        <w:color w:val="FFFFFF" w:themeColor="background1"/>
      </w:rPr>
      <w:tblPr/>
      <w:tcPr>
        <w:tcBorders>
          <w:top w:val="single" w:sz="8" w:space="0" w:color="FF4040" w:themeColor="accent2" w:themeTint="BF"/>
          <w:left w:val="single" w:sz="8" w:space="0" w:color="FF4040" w:themeColor="accent2" w:themeTint="BF"/>
          <w:bottom w:val="single" w:sz="8" w:space="0" w:color="FF4040" w:themeColor="accent2" w:themeTint="BF"/>
          <w:right w:val="single" w:sz="8" w:space="0" w:color="FF4040" w:themeColor="accent2" w:themeTint="BF"/>
          <w:insideH w:val="nil"/>
          <w:insideV w:val="nil"/>
        </w:tcBorders>
        <w:shd w:val="clear" w:color="auto" w:fill="FF0000" w:themeFill="accent2"/>
      </w:tcPr>
    </w:tblStylePr>
    <w:tblStylePr w:type="lastRow">
      <w:pPr>
        <w:spacing w:before="0" w:after="0" w:line="240" w:lineRule="auto"/>
      </w:pPr>
      <w:rPr>
        <w:b/>
        <w:bCs/>
      </w:rPr>
      <w:tblPr/>
      <w:tcPr>
        <w:tcBorders>
          <w:top w:val="double" w:sz="6" w:space="0" w:color="FF4040" w:themeColor="accent2" w:themeTint="BF"/>
          <w:left w:val="single" w:sz="8" w:space="0" w:color="FF4040" w:themeColor="accent2" w:themeTint="BF"/>
          <w:bottom w:val="single" w:sz="8" w:space="0" w:color="FF4040" w:themeColor="accent2" w:themeTint="BF"/>
          <w:right w:val="single" w:sz="8" w:space="0" w:color="FF404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C0C0" w:themeFill="accent2" w:themeFillTint="3F"/>
      </w:tcPr>
    </w:tblStylePr>
    <w:tblStylePr w:type="band1Horz">
      <w:tblPr/>
      <w:tcPr>
        <w:tcBorders>
          <w:insideH w:val="nil"/>
          <w:insideV w:val="nil"/>
        </w:tcBorders>
        <w:shd w:val="clear" w:color="auto" w:fill="FFC0C0"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pPr>
      <w:spacing w:before="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pPr>
      <w:spacing w:before="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pPr>
      <w:spacing w:before="0" w:line="240" w:lineRule="auto"/>
    </w:pPr>
    <w:tblPr>
      <w:tblStyleRowBandSize w:val="1"/>
      <w:tblStyleColBandSize w:val="1"/>
      <w:tblBorders>
        <w:top w:val="single" w:sz="8" w:space="0" w:color="477BCB" w:themeColor="accent5" w:themeTint="BF"/>
        <w:left w:val="single" w:sz="8" w:space="0" w:color="477BCB" w:themeColor="accent5" w:themeTint="BF"/>
        <w:bottom w:val="single" w:sz="8" w:space="0" w:color="477BCB" w:themeColor="accent5" w:themeTint="BF"/>
        <w:right w:val="single" w:sz="8" w:space="0" w:color="477BCB" w:themeColor="accent5" w:themeTint="BF"/>
        <w:insideH w:val="single" w:sz="8" w:space="0" w:color="477BCB" w:themeColor="accent5" w:themeTint="BF"/>
      </w:tblBorders>
    </w:tblPr>
    <w:tblStylePr w:type="firstRow">
      <w:pPr>
        <w:spacing w:before="0" w:after="0" w:line="240" w:lineRule="auto"/>
      </w:pPr>
      <w:rPr>
        <w:b/>
        <w:bCs/>
        <w:color w:val="FFFFFF" w:themeColor="background1"/>
      </w:rPr>
      <w:tblPr/>
      <w:tcPr>
        <w:tcBorders>
          <w:top w:val="single" w:sz="8" w:space="0" w:color="477BCB" w:themeColor="accent5" w:themeTint="BF"/>
          <w:left w:val="single" w:sz="8" w:space="0" w:color="477BCB" w:themeColor="accent5" w:themeTint="BF"/>
          <w:bottom w:val="single" w:sz="8" w:space="0" w:color="477BCB" w:themeColor="accent5" w:themeTint="BF"/>
          <w:right w:val="single" w:sz="8" w:space="0" w:color="477BCB" w:themeColor="accent5" w:themeTint="BF"/>
          <w:insideH w:val="nil"/>
          <w:insideV w:val="nil"/>
        </w:tcBorders>
        <w:shd w:val="clear" w:color="auto" w:fill="2B579A" w:themeFill="accent5"/>
      </w:tcPr>
    </w:tblStylePr>
    <w:tblStylePr w:type="lastRow">
      <w:pPr>
        <w:spacing w:before="0" w:after="0" w:line="240" w:lineRule="auto"/>
      </w:pPr>
      <w:rPr>
        <w:b/>
        <w:bCs/>
      </w:rPr>
      <w:tblPr/>
      <w:tcPr>
        <w:tcBorders>
          <w:top w:val="double" w:sz="6" w:space="0" w:color="477BCB" w:themeColor="accent5" w:themeTint="BF"/>
          <w:left w:val="single" w:sz="8" w:space="0" w:color="477BCB" w:themeColor="accent5" w:themeTint="BF"/>
          <w:bottom w:val="single" w:sz="8" w:space="0" w:color="477BCB" w:themeColor="accent5" w:themeTint="BF"/>
          <w:right w:val="single" w:sz="8" w:space="0" w:color="477BCB" w:themeColor="accent5" w:themeTint="BF"/>
          <w:insideH w:val="nil"/>
          <w:insideV w:val="nil"/>
        </w:tcBorders>
      </w:tcPr>
    </w:tblStylePr>
    <w:tblStylePr w:type="firstCol">
      <w:rPr>
        <w:b/>
        <w:bCs/>
      </w:rPr>
    </w:tblStylePr>
    <w:tblStylePr w:type="lastCol">
      <w:rPr>
        <w:b/>
        <w:bCs/>
      </w:rPr>
    </w:tblStylePr>
    <w:tblStylePr w:type="band1Vert">
      <w:tblPr/>
      <w:tcPr>
        <w:shd w:val="clear" w:color="auto" w:fill="C2D3EE" w:themeFill="accent5" w:themeFillTint="3F"/>
      </w:tcPr>
    </w:tblStylePr>
    <w:tblStylePr w:type="band1Horz">
      <w:tblPr/>
      <w:tcPr>
        <w:tcBorders>
          <w:insideH w:val="nil"/>
          <w:insideV w:val="nil"/>
        </w:tcBorders>
        <w:shd w:val="clear" w:color="auto" w:fill="C2D3EE"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pPr>
      <w:spacing w:before="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pPr>
      <w:spacing w:before="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pPr>
      <w:spacing w:before="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pPr>
      <w:spacing w:before="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0000" w:themeFill="accent2"/>
      </w:tcPr>
    </w:tblStylePr>
    <w:tblStylePr w:type="lastCol">
      <w:rPr>
        <w:b/>
        <w:bCs/>
        <w:color w:val="FFFFFF" w:themeColor="background1"/>
      </w:rPr>
      <w:tblPr/>
      <w:tcPr>
        <w:tcBorders>
          <w:left w:val="nil"/>
          <w:right w:val="nil"/>
          <w:insideH w:val="nil"/>
          <w:insideV w:val="nil"/>
        </w:tcBorders>
        <w:shd w:val="clear" w:color="auto" w:fill="FF000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pPr>
      <w:spacing w:before="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pPr>
      <w:spacing w:before="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pPr>
      <w:spacing w:before="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B579A"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B579A" w:themeFill="accent5"/>
      </w:tcPr>
    </w:tblStylePr>
    <w:tblStylePr w:type="lastCol">
      <w:rPr>
        <w:b/>
        <w:bCs/>
        <w:color w:val="FFFFFF" w:themeColor="background1"/>
      </w:rPr>
      <w:tblPr/>
      <w:tcPr>
        <w:tcBorders>
          <w:left w:val="nil"/>
          <w:right w:val="nil"/>
          <w:insideH w:val="nil"/>
          <w:insideV w:val="nil"/>
        </w:tcBorders>
        <w:shd w:val="clear" w:color="auto" w:fill="2B579A"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pPr>
      <w:spacing w:before="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before="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pPr>
      <w:spacing w:before="0" w:line="240" w:lineRule="auto"/>
    </w:pPr>
  </w:style>
  <w:style w:type="paragraph" w:styleId="NormalIndent">
    <w:name w:val="Normal Indent"/>
    <w:basedOn w:val="Normal"/>
    <w:uiPriority w:val="99"/>
    <w:semiHidden/>
    <w:unhideWhenUsed/>
    <w:pPr>
      <w:ind w:left="720"/>
    </w:pPr>
  </w:style>
  <w:style w:type="paragraph" w:styleId="NoteHeading">
    <w:name w:val="Note Heading"/>
    <w:basedOn w:val="Normal"/>
    <w:next w:val="Normal"/>
    <w:link w:val="NoteHeadingChar"/>
    <w:uiPriority w:val="99"/>
    <w:semiHidden/>
    <w:unhideWhenUsed/>
    <w:pPr>
      <w:spacing w:before="0" w:line="240" w:lineRule="auto"/>
    </w:pPr>
  </w:style>
  <w:style w:type="character" w:customStyle="1" w:styleId="NoteHeadingChar">
    <w:name w:val="Note Heading Char"/>
    <w:basedOn w:val="DefaultParagraphFont"/>
    <w:link w:val="NoteHeading"/>
    <w:uiPriority w:val="99"/>
    <w:semiHidden/>
  </w:style>
  <w:style w:type="character" w:styleId="PageNumber">
    <w:name w:val="page number"/>
    <w:basedOn w:val="DefaultParagraphFont"/>
    <w:uiPriority w:val="99"/>
    <w:semiHidden/>
    <w:unhideWhenUsed/>
  </w:style>
  <w:style w:type="character" w:styleId="PlaceholderText">
    <w:name w:val="Placeholder Text"/>
    <w:basedOn w:val="DefaultParagraphFont"/>
    <w:uiPriority w:val="99"/>
    <w:semiHidden/>
    <w:rPr>
      <w:color w:val="595959" w:themeColor="text1" w:themeTint="A6"/>
    </w:rPr>
  </w:style>
  <w:style w:type="table" w:styleId="PlainTable1">
    <w:name w:val="Plain Table 1"/>
    <w:basedOn w:val="TableNormal"/>
    <w:uiPriority w:val="41"/>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pPr>
      <w:spacing w:before="0" w:line="240" w:lineRule="auto"/>
    </w:pPr>
    <w:rPr>
      <w:rFonts w:ascii="Consolas" w:hAnsi="Consolas"/>
      <w:szCs w:val="21"/>
    </w:rPr>
  </w:style>
  <w:style w:type="character" w:customStyle="1" w:styleId="PlainTextChar">
    <w:name w:val="Plain Text Char"/>
    <w:basedOn w:val="DefaultParagraphFont"/>
    <w:link w:val="PlainText"/>
    <w:uiPriority w:val="99"/>
    <w:semiHidden/>
    <w:rPr>
      <w:rFonts w:ascii="Consolas" w:hAnsi="Consolas"/>
      <w:szCs w:val="21"/>
    </w:rPr>
  </w:style>
  <w:style w:type="paragraph" w:styleId="Quote">
    <w:name w:val="Quote"/>
    <w:basedOn w:val="Normal"/>
    <w:next w:val="Normal"/>
    <w:link w:val="QuoteChar"/>
    <w:uiPriority w:val="29"/>
    <w:semiHidden/>
    <w:unhideWhenUsed/>
    <w:qFormat/>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rPr>
  </w:style>
  <w:style w:type="paragraph" w:styleId="Salutation">
    <w:name w:val="Salutation"/>
    <w:basedOn w:val="Normal"/>
    <w:next w:val="Normal"/>
    <w:link w:val="SalutationChar"/>
    <w:uiPriority w:val="99"/>
    <w:semiHidden/>
    <w:unhideWhenUsed/>
  </w:style>
  <w:style w:type="character" w:customStyle="1" w:styleId="SalutationChar">
    <w:name w:val="Salutation Char"/>
    <w:basedOn w:val="DefaultParagraphFont"/>
    <w:link w:val="Salutation"/>
    <w:uiPriority w:val="99"/>
    <w:semiHidden/>
  </w:style>
  <w:style w:type="paragraph" w:styleId="Signature">
    <w:name w:val="Signature"/>
    <w:basedOn w:val="Normal"/>
    <w:link w:val="SignatureChar"/>
    <w:uiPriority w:val="99"/>
    <w:semiHidden/>
    <w:unhideWhenUsed/>
    <w:pPr>
      <w:spacing w:before="0" w:line="240" w:lineRule="auto"/>
      <w:ind w:left="4320"/>
    </w:pPr>
  </w:style>
  <w:style w:type="character" w:customStyle="1" w:styleId="SignatureChar">
    <w:name w:val="Signature Char"/>
    <w:basedOn w:val="DefaultParagraphFont"/>
    <w:link w:val="Signature"/>
    <w:uiPriority w:val="99"/>
    <w:semiHidden/>
  </w:style>
  <w:style w:type="character" w:styleId="SubtleEmphasis">
    <w:name w:val="Subtle Emphasis"/>
    <w:basedOn w:val="DefaultParagraphFont"/>
    <w:uiPriority w:val="19"/>
    <w:semiHidden/>
    <w:unhideWhenUsed/>
    <w:qFormat/>
    <w:rPr>
      <w:i/>
      <w:iCs/>
      <w:color w:val="404040" w:themeColor="text1" w:themeTint="BF"/>
    </w:rPr>
  </w:style>
  <w:style w:type="character" w:styleId="SubtleReference">
    <w:name w:val="Subtle Reference"/>
    <w:basedOn w:val="DefaultParagraphFont"/>
    <w:uiPriority w:val="31"/>
    <w:semiHidden/>
    <w:unhideWhenUsed/>
    <w:qFormat/>
    <w:rPr>
      <w:smallCaps/>
      <w:color w:val="5A5A5A" w:themeColor="text1" w:themeTint="A5"/>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pPr>
      <w:ind w:left="220" w:hanging="220"/>
    </w:pPr>
  </w:style>
  <w:style w:type="paragraph" w:styleId="TableofFigures">
    <w:name w:val="table of figures"/>
    <w:basedOn w:val="Normal"/>
    <w:next w:val="Normal"/>
    <w:uiPriority w:val="99"/>
    <w:semiHidden/>
    <w:unhideWhenUsed/>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unhideWhenUsed/>
    <w:rsid w:val="00263938"/>
    <w:pPr>
      <w:spacing w:after="100"/>
    </w:pPr>
    <w:rPr>
      <w:noProof/>
    </w:rPr>
  </w:style>
  <w:style w:type="paragraph" w:styleId="TOC2">
    <w:name w:val="toc 2"/>
    <w:basedOn w:val="Normal"/>
    <w:next w:val="Normal"/>
    <w:autoRedefine/>
    <w:uiPriority w:val="39"/>
    <w:unhideWhenUsed/>
    <w:pPr>
      <w:spacing w:after="100"/>
      <w:ind w:left="220"/>
    </w:pPr>
  </w:style>
  <w:style w:type="paragraph" w:styleId="TOC3">
    <w:name w:val="toc 3"/>
    <w:basedOn w:val="Normal"/>
    <w:next w:val="Normal"/>
    <w:autoRedefine/>
    <w:uiPriority w:val="39"/>
    <w:unhideWhenUsed/>
    <w:pPr>
      <w:spacing w:after="100"/>
      <w:ind w:left="440"/>
    </w:pPr>
  </w:style>
  <w:style w:type="paragraph" w:styleId="TOC4">
    <w:name w:val="toc 4"/>
    <w:basedOn w:val="Normal"/>
    <w:next w:val="Normal"/>
    <w:autoRedefine/>
    <w:uiPriority w:val="39"/>
    <w:semiHidden/>
    <w:unhideWhenUsed/>
    <w:pPr>
      <w:spacing w:after="100"/>
      <w:ind w:left="660"/>
    </w:pPr>
  </w:style>
  <w:style w:type="paragraph" w:styleId="TOC5">
    <w:name w:val="toc 5"/>
    <w:basedOn w:val="Normal"/>
    <w:next w:val="Normal"/>
    <w:autoRedefine/>
    <w:uiPriority w:val="39"/>
    <w:semiHidden/>
    <w:unhideWhenUsed/>
    <w:pPr>
      <w:spacing w:after="100"/>
      <w:ind w:left="880"/>
    </w:pPr>
  </w:style>
  <w:style w:type="paragraph" w:styleId="TOC6">
    <w:name w:val="toc 6"/>
    <w:basedOn w:val="Normal"/>
    <w:next w:val="Normal"/>
    <w:autoRedefine/>
    <w:uiPriority w:val="39"/>
    <w:semiHidden/>
    <w:unhideWhenUsed/>
    <w:pPr>
      <w:spacing w:after="100"/>
      <w:ind w:left="1100"/>
    </w:pPr>
  </w:style>
  <w:style w:type="paragraph" w:styleId="TOC7">
    <w:name w:val="toc 7"/>
    <w:basedOn w:val="Normal"/>
    <w:next w:val="Normal"/>
    <w:autoRedefine/>
    <w:uiPriority w:val="39"/>
    <w:semiHidden/>
    <w:unhideWhenUsed/>
    <w:pPr>
      <w:spacing w:after="100"/>
      <w:ind w:left="1320"/>
    </w:pPr>
  </w:style>
  <w:style w:type="paragraph" w:styleId="TOC8">
    <w:name w:val="toc 8"/>
    <w:basedOn w:val="Normal"/>
    <w:next w:val="Normal"/>
    <w:autoRedefine/>
    <w:uiPriority w:val="39"/>
    <w:semiHidden/>
    <w:unhideWhenUsed/>
    <w:pPr>
      <w:spacing w:after="100"/>
      <w:ind w:left="1540"/>
    </w:pPr>
  </w:style>
  <w:style w:type="paragraph" w:styleId="TOC9">
    <w:name w:val="toc 9"/>
    <w:basedOn w:val="Normal"/>
    <w:next w:val="Normal"/>
    <w:autoRedefine/>
    <w:uiPriority w:val="39"/>
    <w:semiHidden/>
    <w:unhideWhenUsed/>
    <w:pPr>
      <w:spacing w:after="100"/>
      <w:ind w:left="1760"/>
    </w:pPr>
  </w:style>
  <w:style w:type="character" w:styleId="UnresolvedMention">
    <w:name w:val="Unresolved Mention"/>
    <w:basedOn w:val="DefaultParagraphFont"/>
    <w:uiPriority w:val="99"/>
    <w:unhideWhenUsed/>
    <w:rPr>
      <w:color w:val="605E5C"/>
      <w:shd w:val="clear" w:color="auto" w:fill="E1DFDD"/>
    </w:rPr>
  </w:style>
  <w:style w:type="character" w:styleId="Mention">
    <w:name w:val="Mention"/>
    <w:basedOn w:val="DefaultParagraphFont"/>
    <w:uiPriority w:val="99"/>
    <w:unhideWhenUsed/>
    <w:rPr>
      <w:color w:val="2B579A"/>
      <w:shd w:val="clear" w:color="auto" w:fill="E1DFDD"/>
    </w:rPr>
  </w:style>
  <w:style w:type="paragraph" w:styleId="Revision">
    <w:name w:val="Revision"/>
    <w:hidden/>
    <w:uiPriority w:val="99"/>
    <w:semiHidden/>
    <w:pPr>
      <w:spacing w:before="0" w:line="240" w:lineRule="auto"/>
    </w:pPr>
  </w:style>
  <w:style w:type="paragraph" w:customStyle="1" w:styleId="TryItBoilerplate">
    <w:name w:val="Try It Boilerplate"/>
    <w:basedOn w:val="Normal"/>
    <w:rsid w:val="0073562D"/>
    <w:pPr>
      <w:ind w:left="720" w:right="720"/>
    </w:pPr>
    <w:rPr>
      <w:i/>
      <w:color w:val="595959" w:themeColor="text1" w:themeTint="A6"/>
    </w:rPr>
  </w:style>
  <w:style w:type="paragraph" w:customStyle="1" w:styleId="Quoteemphasis">
    <w:name w:val="Quote emphasis"/>
    <w:basedOn w:val="Normal"/>
    <w:next w:val="Normal"/>
    <w:link w:val="QuoteemphasisChar"/>
    <w:qFormat/>
    <w:rsid w:val="00C30889"/>
    <w:rPr>
      <w:i/>
    </w:rPr>
  </w:style>
  <w:style w:type="character" w:customStyle="1" w:styleId="ListNumberChar">
    <w:name w:val="List Number Char"/>
    <w:basedOn w:val="DefaultParagraphFont"/>
    <w:link w:val="ListNumber"/>
    <w:uiPriority w:val="10"/>
    <w:rsid w:val="00C30889"/>
    <w:rPr>
      <w:rFonts w:eastAsiaTheme="minorEastAsia"/>
      <w:color w:val="3B3838" w:themeColor="background2" w:themeShade="40"/>
    </w:rPr>
  </w:style>
  <w:style w:type="character" w:customStyle="1" w:styleId="QuoteemphasisChar">
    <w:name w:val="Quote emphasis Char"/>
    <w:basedOn w:val="ListNumberChar"/>
    <w:link w:val="Quoteemphasis"/>
    <w:rsid w:val="00C30889"/>
    <w:rPr>
      <w:rFonts w:eastAsiaTheme="minorEastAsia"/>
      <w:i/>
      <w:color w:val="3B3838" w:themeColor="background2" w:themeShade="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15387">
      <w:bodyDiv w:val="1"/>
      <w:marLeft w:val="0"/>
      <w:marRight w:val="0"/>
      <w:marTop w:val="0"/>
      <w:marBottom w:val="0"/>
      <w:divBdr>
        <w:top w:val="none" w:sz="0" w:space="0" w:color="auto"/>
        <w:left w:val="none" w:sz="0" w:space="0" w:color="auto"/>
        <w:bottom w:val="none" w:sz="0" w:space="0" w:color="auto"/>
        <w:right w:val="none" w:sz="0" w:space="0" w:color="auto"/>
      </w:divBdr>
    </w:div>
    <w:div w:id="134955146">
      <w:bodyDiv w:val="1"/>
      <w:marLeft w:val="0"/>
      <w:marRight w:val="0"/>
      <w:marTop w:val="0"/>
      <w:marBottom w:val="0"/>
      <w:divBdr>
        <w:top w:val="none" w:sz="0" w:space="0" w:color="auto"/>
        <w:left w:val="none" w:sz="0" w:space="0" w:color="auto"/>
        <w:bottom w:val="none" w:sz="0" w:space="0" w:color="auto"/>
        <w:right w:val="none" w:sz="0" w:space="0" w:color="auto"/>
      </w:divBdr>
    </w:div>
    <w:div w:id="361249840">
      <w:bodyDiv w:val="1"/>
      <w:marLeft w:val="0"/>
      <w:marRight w:val="0"/>
      <w:marTop w:val="0"/>
      <w:marBottom w:val="0"/>
      <w:divBdr>
        <w:top w:val="none" w:sz="0" w:space="0" w:color="auto"/>
        <w:left w:val="none" w:sz="0" w:space="0" w:color="auto"/>
        <w:bottom w:val="none" w:sz="0" w:space="0" w:color="auto"/>
        <w:right w:val="none" w:sz="0" w:space="0" w:color="auto"/>
      </w:divBdr>
    </w:div>
    <w:div w:id="1186167820">
      <w:bodyDiv w:val="1"/>
      <w:marLeft w:val="0"/>
      <w:marRight w:val="0"/>
      <w:marTop w:val="0"/>
      <w:marBottom w:val="0"/>
      <w:divBdr>
        <w:top w:val="none" w:sz="0" w:space="0" w:color="auto"/>
        <w:left w:val="none" w:sz="0" w:space="0" w:color="auto"/>
        <w:bottom w:val="none" w:sz="0" w:space="0" w:color="auto"/>
        <w:right w:val="none" w:sz="0" w:space="0" w:color="auto"/>
      </w:divBdr>
    </w:div>
    <w:div w:id="1206792808">
      <w:bodyDiv w:val="1"/>
      <w:marLeft w:val="0"/>
      <w:marRight w:val="0"/>
      <w:marTop w:val="0"/>
      <w:marBottom w:val="0"/>
      <w:divBdr>
        <w:top w:val="none" w:sz="0" w:space="0" w:color="auto"/>
        <w:left w:val="none" w:sz="0" w:space="0" w:color="auto"/>
        <w:bottom w:val="none" w:sz="0" w:space="0" w:color="auto"/>
        <w:right w:val="none" w:sz="0" w:space="0" w:color="auto"/>
      </w:divBdr>
    </w:div>
    <w:div w:id="1416169657">
      <w:bodyDiv w:val="1"/>
      <w:marLeft w:val="0"/>
      <w:marRight w:val="0"/>
      <w:marTop w:val="0"/>
      <w:marBottom w:val="0"/>
      <w:divBdr>
        <w:top w:val="none" w:sz="0" w:space="0" w:color="auto"/>
        <w:left w:val="none" w:sz="0" w:space="0" w:color="auto"/>
        <w:bottom w:val="none" w:sz="0" w:space="0" w:color="auto"/>
        <w:right w:val="none" w:sz="0" w:space="0" w:color="auto"/>
      </w:divBdr>
    </w:div>
    <w:div w:id="1859925255">
      <w:bodyDiv w:val="1"/>
      <w:marLeft w:val="0"/>
      <w:marRight w:val="0"/>
      <w:marTop w:val="0"/>
      <w:marBottom w:val="0"/>
      <w:divBdr>
        <w:top w:val="none" w:sz="0" w:space="0" w:color="auto"/>
        <w:left w:val="none" w:sz="0" w:space="0" w:color="auto"/>
        <w:bottom w:val="none" w:sz="0" w:space="0" w:color="auto"/>
        <w:right w:val="none" w:sz="0" w:space="0" w:color="auto"/>
      </w:divBdr>
      <w:divsChild>
        <w:div w:id="1114982549">
          <w:marLeft w:val="0"/>
          <w:marRight w:val="0"/>
          <w:marTop w:val="0"/>
          <w:marBottom w:val="0"/>
          <w:divBdr>
            <w:top w:val="none" w:sz="0" w:space="0" w:color="auto"/>
            <w:left w:val="none" w:sz="0" w:space="0" w:color="auto"/>
            <w:bottom w:val="none" w:sz="0" w:space="0" w:color="auto"/>
            <w:right w:val="none" w:sz="0" w:space="0" w:color="auto"/>
          </w:divBdr>
        </w:div>
      </w:divsChild>
    </w:div>
    <w:div w:id="2011567895">
      <w:bodyDiv w:val="1"/>
      <w:marLeft w:val="0"/>
      <w:marRight w:val="0"/>
      <w:marTop w:val="0"/>
      <w:marBottom w:val="0"/>
      <w:divBdr>
        <w:top w:val="none" w:sz="0" w:space="0" w:color="auto"/>
        <w:left w:val="none" w:sz="0" w:space="0" w:color="auto"/>
        <w:bottom w:val="none" w:sz="0" w:space="0" w:color="auto"/>
        <w:right w:val="none" w:sz="0" w:space="0" w:color="auto"/>
      </w:divBdr>
      <w:divsChild>
        <w:div w:id="449518389">
          <w:marLeft w:val="0"/>
          <w:marRight w:val="0"/>
          <w:marTop w:val="0"/>
          <w:marBottom w:val="0"/>
          <w:divBdr>
            <w:top w:val="none" w:sz="0" w:space="0" w:color="auto"/>
            <w:left w:val="none" w:sz="0" w:space="0" w:color="auto"/>
            <w:bottom w:val="none" w:sz="0" w:space="0" w:color="auto"/>
            <w:right w:val="none" w:sz="0" w:space="0" w:color="auto"/>
          </w:divBdr>
        </w:div>
      </w:divsChild>
    </w:div>
    <w:div w:id="2064719165">
      <w:bodyDiv w:val="1"/>
      <w:marLeft w:val="0"/>
      <w:marRight w:val="0"/>
      <w:marTop w:val="0"/>
      <w:marBottom w:val="0"/>
      <w:divBdr>
        <w:top w:val="none" w:sz="0" w:space="0" w:color="auto"/>
        <w:left w:val="none" w:sz="0" w:space="0" w:color="auto"/>
        <w:bottom w:val="none" w:sz="0" w:space="0" w:color="auto"/>
        <w:right w:val="none" w:sz="0" w:space="0" w:color="auto"/>
      </w:divBdr>
    </w:div>
    <w:div w:id="2090224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ilaSears\AppData\Local\Microsoft\Office\16.0\DTS\en-US%7b27FD2D35-A79A-4C65-A282-DC3CD314B80D%7d\%7bC1703AA7-54B2-4400-AD5E-37097AAC3265%7dtf45325165_win32.dotx" TargetMode="External"/></Relationships>
</file>

<file path=word/theme/theme1.xml><?xml version="1.0" encoding="utf-8"?>
<a:theme xmlns:a="http://schemas.openxmlformats.org/drawingml/2006/main" name="Win32TaT">
  <a:themeElements>
    <a:clrScheme name="Custom 1">
      <a:dk1>
        <a:sysClr val="windowText" lastClr="000000"/>
      </a:dk1>
      <a:lt1>
        <a:sysClr val="window" lastClr="FFFFFF"/>
      </a:lt1>
      <a:dk2>
        <a:srgbClr val="44546A"/>
      </a:dk2>
      <a:lt2>
        <a:srgbClr val="E7E6E6"/>
      </a:lt2>
      <a:accent1>
        <a:srgbClr val="5B9BD5"/>
      </a:accent1>
      <a:accent2>
        <a:srgbClr val="FF0000"/>
      </a:accent2>
      <a:accent3>
        <a:srgbClr val="A5A5A5"/>
      </a:accent3>
      <a:accent4>
        <a:srgbClr val="FFC000"/>
      </a:accent4>
      <a:accent5>
        <a:srgbClr val="2B579A"/>
      </a:accent5>
      <a:accent6>
        <a:srgbClr val="70AD47"/>
      </a:accent6>
      <a:hlink>
        <a:srgbClr val="0563C1"/>
      </a:hlink>
      <a:folHlink>
        <a:srgbClr val="954F72"/>
      </a:folHlink>
    </a:clrScheme>
    <a:fontScheme name="Custom 1">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881AD3243B7B54581960D7A0556D33A" ma:contentTypeVersion="13" ma:contentTypeDescription="Create a new document." ma:contentTypeScope="" ma:versionID="c6a00092c2ee776b797d16a90d863ba9">
  <xsd:schema xmlns:xsd="http://www.w3.org/2001/XMLSchema" xmlns:xs="http://www.w3.org/2001/XMLSchema" xmlns:p="http://schemas.microsoft.com/office/2006/metadata/properties" xmlns:ns2="3b262f46-34a4-4211-918e-93578a3bf2d7" xmlns:ns3="4ff25e81-3842-4ed6-a7ac-b8dc9b0eb32a" targetNamespace="http://schemas.microsoft.com/office/2006/metadata/properties" ma:root="true" ma:fieldsID="ef963937bbb694ae3482d9ed5c2c6a38" ns2:_="" ns3:_="">
    <xsd:import namespace="3b262f46-34a4-4211-918e-93578a3bf2d7"/>
    <xsd:import namespace="4ff25e81-3842-4ed6-a7ac-b8dc9b0eb32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262f46-34a4-4211-918e-93578a3bf2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cd61d43-b631-47d9-9593-592ee71e8671"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f25e81-3842-4ed6-a7ac-b8dc9b0eb32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3d6aaee9-41b7-40d8-92d9-07fe678b94c9}" ma:internalName="TaxCatchAll" ma:showField="CatchAllData" ma:web="4ff25e81-3842-4ed6-a7ac-b8dc9b0eb3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4ff25e81-3842-4ed6-a7ac-b8dc9b0eb32a" xsi:nil="true"/>
    <lcf76f155ced4ddcb4097134ff3c332f xmlns="3b262f46-34a4-4211-918e-93578a3bf2d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EAA2E9E-4E47-497B-A79A-B397382D8E2F}">
  <ds:schemaRefs>
    <ds:schemaRef ds:uri="http://schemas.openxmlformats.org/officeDocument/2006/bibliography"/>
  </ds:schemaRefs>
</ds:datastoreItem>
</file>

<file path=customXml/itemProps2.xml><?xml version="1.0" encoding="utf-8"?>
<ds:datastoreItem xmlns:ds="http://schemas.openxmlformats.org/officeDocument/2006/customXml" ds:itemID="{878A3276-187E-405F-966A-BDA24FF7DCFF}">
  <ds:schemaRefs>
    <ds:schemaRef ds:uri="http://schemas.microsoft.com/sharepoint/v3/contenttype/forms"/>
  </ds:schemaRefs>
</ds:datastoreItem>
</file>

<file path=customXml/itemProps3.xml><?xml version="1.0" encoding="utf-8"?>
<ds:datastoreItem xmlns:ds="http://schemas.openxmlformats.org/officeDocument/2006/customXml" ds:itemID="{754EF2E2-ABFA-4A1A-ACDE-8C2677A2AE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262f46-34a4-4211-918e-93578a3bf2d7"/>
    <ds:schemaRef ds:uri="4ff25e81-3842-4ed6-a7ac-b8dc9b0eb3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1E7373D-5DCA-4092-912F-7D030B4FE61E}">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 ds:uri="4ff25e81-3842-4ed6-a7ac-b8dc9b0eb32a"/>
    <ds:schemaRef ds:uri="3b262f46-34a4-4211-918e-93578a3bf2d7"/>
  </ds:schemaRefs>
</ds:datastoreItem>
</file>

<file path=docProps/app.xml><?xml version="1.0" encoding="utf-8"?>
<Properties xmlns="http://schemas.openxmlformats.org/officeDocument/2006/extended-properties" xmlns:vt="http://schemas.openxmlformats.org/officeDocument/2006/docPropsVTypes">
  <Template>{C1703AA7-54B2-4400-AD5E-37097AAC3265}tf45325165_win32</Template>
  <TotalTime>1</TotalTime>
  <Pages>44</Pages>
  <Words>14172</Words>
  <Characters>80785</Characters>
  <Application>Microsoft Office Word</Application>
  <DocSecurity>0</DocSecurity>
  <Lines>673</Lines>
  <Paragraphs>189</Paragraphs>
  <ScaleCrop>false</ScaleCrop>
  <Company/>
  <LinksUpToDate>false</LinksUpToDate>
  <CharactersWithSpaces>94768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Hamblin</dc:creator>
  <cp:keywords/>
  <dc:description/>
  <cp:lastModifiedBy>Andrew Gautsch</cp:lastModifiedBy>
  <cp:revision>2</cp:revision>
  <dcterms:created xsi:type="dcterms:W3CDTF">2025-03-04T14:15:00Z</dcterms:created>
  <dcterms:modified xsi:type="dcterms:W3CDTF">2025-03-04T14:15:00Z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0x0101004881AD3243B7B54581960D7A0556D33A</vt:lpwstr>
  </property>
  <property fmtid="{D5CDD505-2E9C-101B-9397-08002B2CF9AE}" pid="3" name="MediaServiceImageTags">
    <vt:lpwstr/>
  </property>
</Properties>
</file>